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B3" w:rsidRDefault="007E4BB3" w:rsidP="007E4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7E4BB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Le syndrome de Guillain Barré </w:t>
      </w:r>
    </w:p>
    <w:p w:rsidR="007E4BB3" w:rsidRPr="007E4BB3" w:rsidRDefault="007E4BB3" w:rsidP="007E4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:rsidR="00FD1F88" w:rsidRPr="00007663" w:rsidRDefault="007E4BB3" w:rsidP="00F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I-</w:t>
      </w:r>
      <w:r w:rsidR="00FD1F88" w:rsidRPr="00007663">
        <w:rPr>
          <w:rFonts w:ascii="Times New Roman" w:hAnsi="Times New Roman" w:cs="Times New Roman"/>
          <w:b/>
          <w:bCs/>
          <w:sz w:val="32"/>
          <w:szCs w:val="32"/>
        </w:rPr>
        <w:t>Introduction</w:t>
      </w:r>
    </w:p>
    <w:p w:rsidR="00FD1F88" w:rsidRDefault="00FD1F88" w:rsidP="00F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25E5B" w:rsidRPr="008A2EE5" w:rsidRDefault="00FD1F88" w:rsidP="00FD23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 xml:space="preserve">Le syndrome de Guillain-Barré (SGB), ou 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polyradiculoneuropathie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 xml:space="preserve"> aigue inflammatoire, est</w:t>
      </w:r>
      <w:r w:rsidR="00FD23DF">
        <w:rPr>
          <w:rFonts w:ascii="Times New Roman" w:hAnsi="Times New Roman" w:cs="Times New Roman"/>
          <w:sz w:val="28"/>
          <w:szCs w:val="28"/>
        </w:rPr>
        <w:t xml:space="preserve"> </w:t>
      </w:r>
      <w:r w:rsidRPr="008A2EE5">
        <w:rPr>
          <w:rFonts w:ascii="Times New Roman" w:hAnsi="Times New Roman" w:cs="Times New Roman"/>
          <w:sz w:val="28"/>
          <w:szCs w:val="28"/>
        </w:rPr>
        <w:t>la principale cause de paralysie aigue extensive dans les pays développés. Compte tenu du risque de gravité à court terme, il s’agit d’une urgence neurologique. Le diagnostic est généralement clinique, les examens complémentaires permettant essentiellement d’éliminer un diagnostic différentiel</w:t>
      </w:r>
    </w:p>
    <w:p w:rsidR="00FD1F88" w:rsidRPr="008A2EE5" w:rsidRDefault="00FD1F88" w:rsidP="00F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L'incidence annuelle du SGB est d’environ de 1,5 pour 100 000. Le SGB atteint les deux sexes, tous les âges et toutes les ethnies.</w:t>
      </w:r>
    </w:p>
    <w:p w:rsidR="00FD1F88" w:rsidRPr="008A2EE5" w:rsidRDefault="00FD1F88" w:rsidP="00F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F88" w:rsidRPr="00007663" w:rsidRDefault="008A2EE5" w:rsidP="00F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II-</w:t>
      </w:r>
      <w:r w:rsidR="00FD1F88" w:rsidRPr="00007663">
        <w:rPr>
          <w:rFonts w:ascii="Times New Roman" w:hAnsi="Times New Roman" w:cs="Times New Roman"/>
          <w:b/>
          <w:bCs/>
          <w:sz w:val="32"/>
          <w:szCs w:val="32"/>
        </w:rPr>
        <w:t>Physiopathologie</w:t>
      </w:r>
    </w:p>
    <w:p w:rsidR="00FD1F88" w:rsidRDefault="00FD1F88" w:rsidP="00F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F88" w:rsidRPr="008A2EE5" w:rsidRDefault="00FD1F88" w:rsidP="00F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 xml:space="preserve">Dans les cinq à six semaines qui précèdent les premiers signes neurologiques, il est retrouvé dans environ 60 % des cas un épisode infectieux, rhino-pharyngé, digestif ou grippal, acte chirurgical, une sérothérapie ou une vaccination. Les agents pathogènes les plus fréquemment observés sont le cytomégalovirus, le </w:t>
      </w:r>
      <w:proofErr w:type="spellStart"/>
      <w:r w:rsidRPr="008A2EE5">
        <w:rPr>
          <w:rFonts w:ascii="Times New Roman" w:hAnsi="Times New Roman" w:cs="Times New Roman"/>
          <w:i/>
          <w:iCs/>
          <w:sz w:val="28"/>
          <w:szCs w:val="28"/>
        </w:rPr>
        <w:t>Mycoplasma</w:t>
      </w:r>
      <w:proofErr w:type="spellEnd"/>
      <w:r w:rsidRPr="008A2E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A2EE5">
        <w:rPr>
          <w:rFonts w:ascii="Times New Roman" w:hAnsi="Times New Roman" w:cs="Times New Roman"/>
          <w:i/>
          <w:iCs/>
          <w:sz w:val="28"/>
          <w:szCs w:val="28"/>
        </w:rPr>
        <w:t>pneumoniae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 xml:space="preserve">, le virus d'Epstein-Barr et, plus récemment, </w:t>
      </w:r>
      <w:proofErr w:type="spellStart"/>
      <w:r w:rsidRPr="008A2EE5">
        <w:rPr>
          <w:rFonts w:ascii="Times New Roman" w:hAnsi="Times New Roman" w:cs="Times New Roman"/>
          <w:i/>
          <w:iCs/>
          <w:sz w:val="28"/>
          <w:szCs w:val="28"/>
        </w:rPr>
        <w:t>Campylobacter</w:t>
      </w:r>
      <w:proofErr w:type="spellEnd"/>
      <w:r w:rsidRPr="008A2EE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8A2EE5">
        <w:rPr>
          <w:rFonts w:ascii="Times New Roman" w:hAnsi="Times New Roman" w:cs="Times New Roman"/>
          <w:i/>
          <w:iCs/>
          <w:sz w:val="28"/>
          <w:szCs w:val="28"/>
        </w:rPr>
        <w:t>jejuni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>.</w:t>
      </w:r>
    </w:p>
    <w:p w:rsidR="00FD1F88" w:rsidRPr="008A2EE5" w:rsidRDefault="00FD1F88" w:rsidP="00F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L’atteinte nerveuse la plus fréquente est une démyélinisation qui se caractérise</w:t>
      </w:r>
    </w:p>
    <w:p w:rsidR="00007663" w:rsidRPr="008A2EE5" w:rsidRDefault="00FD1F88" w:rsidP="00F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2EE5">
        <w:rPr>
          <w:rFonts w:ascii="Times New Roman" w:hAnsi="Times New Roman" w:cs="Times New Roman"/>
          <w:sz w:val="28"/>
          <w:szCs w:val="28"/>
        </w:rPr>
        <w:t>électrophysiologiquement</w:t>
      </w:r>
      <w:proofErr w:type="spellEnd"/>
      <w:proofErr w:type="gramEnd"/>
      <w:r w:rsidRPr="008A2EE5">
        <w:rPr>
          <w:rFonts w:ascii="Times New Roman" w:hAnsi="Times New Roman" w:cs="Times New Roman"/>
          <w:sz w:val="28"/>
          <w:szCs w:val="28"/>
        </w:rPr>
        <w:t xml:space="preserve"> par un ralentissement des vitesses de conduction, un allongement des latentes distales et des blocs de conduction. La démyélinisation est le plus souvent réversible mais peut entraîner des lésions 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axonales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>, qui rendent compte des séquelles</w:t>
      </w:r>
    </w:p>
    <w:p w:rsidR="00FD1F88" w:rsidRPr="008A2EE5" w:rsidRDefault="00FD1F88" w:rsidP="00F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663" w:rsidRPr="00007663" w:rsidRDefault="008A2EE5" w:rsidP="00F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III-</w:t>
      </w:r>
      <w:r w:rsidR="00007663" w:rsidRPr="00007663">
        <w:rPr>
          <w:rFonts w:ascii="Times New Roman" w:hAnsi="Times New Roman" w:cs="Times New Roman"/>
          <w:b/>
          <w:bCs/>
          <w:sz w:val="32"/>
          <w:szCs w:val="32"/>
        </w:rPr>
        <w:t>Aspects cliniques</w:t>
      </w:r>
    </w:p>
    <w:p w:rsidR="00007663" w:rsidRDefault="00007663" w:rsidP="00FD1F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7663" w:rsidRPr="008A2EE5" w:rsidRDefault="00007663" w:rsidP="00007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Le syndrome de Guillain-Barré (SGB) ou PRNA provoque un déficit moteur de type périphérique, bilatéral, symétrique, à prédominance proximale, ascendant et très souvent associé à des troubles sensitifs</w:t>
      </w:r>
    </w:p>
    <w:p w:rsidR="00007663" w:rsidRPr="008A2EE5" w:rsidRDefault="00007663" w:rsidP="00007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Le SGB évolue en trois phases : une phase d’extension, une phase de plateau et une phase de récupération</w:t>
      </w:r>
    </w:p>
    <w:p w:rsidR="00007663" w:rsidRPr="008A2EE5" w:rsidRDefault="00007663" w:rsidP="00007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663" w:rsidRPr="008A2EE5" w:rsidRDefault="00007663" w:rsidP="00007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EE5">
        <w:rPr>
          <w:rFonts w:ascii="Times New Roman,Bold" w:hAnsi="Times New Roman,Bold" w:cs="Times New Roman,Bold"/>
          <w:b/>
          <w:bCs/>
          <w:sz w:val="28"/>
          <w:szCs w:val="28"/>
        </w:rPr>
        <w:t xml:space="preserve">1-Phase d’extension </w:t>
      </w:r>
      <w:r w:rsidRPr="008A2EE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007663" w:rsidRPr="008A2EE5" w:rsidRDefault="00007663" w:rsidP="0077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 xml:space="preserve">Elle dure par définition moins de 4 semaines. Le tableau clinique débute habituellement par des troubles sensitifs à type de paresthésies ou dysesthésies des extrémités. Des douleurs lombaires et des radiculalgies sont classiques. S’y associe un déficit moteur, bilatéral et symétrique, flasque avec 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hyporéfléxie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>. Le déficit est caricaturalement d’évolution ascendante, pré</w:t>
      </w:r>
      <w:r w:rsidR="00776426" w:rsidRPr="008A2EE5">
        <w:rPr>
          <w:rFonts w:ascii="Times New Roman" w:hAnsi="Times New Roman" w:cs="Times New Roman"/>
          <w:sz w:val="28"/>
          <w:szCs w:val="28"/>
        </w:rPr>
        <w:t xml:space="preserve">domine en </w:t>
      </w:r>
      <w:r w:rsidRPr="008A2EE5">
        <w:rPr>
          <w:rFonts w:ascii="Times New Roman" w:hAnsi="Times New Roman" w:cs="Times New Roman"/>
          <w:sz w:val="28"/>
          <w:szCs w:val="28"/>
        </w:rPr>
        <w:t>proximal et peut être de gravité variable, avec une évolution pos</w:t>
      </w:r>
      <w:r w:rsidR="00776426" w:rsidRPr="008A2EE5">
        <w:rPr>
          <w:rFonts w:ascii="Times New Roman" w:hAnsi="Times New Roman" w:cs="Times New Roman"/>
          <w:sz w:val="28"/>
          <w:szCs w:val="28"/>
        </w:rPr>
        <w:t xml:space="preserve">sible vers une tétraplégie, </w:t>
      </w:r>
      <w:r w:rsidR="00776426" w:rsidRPr="008A2EE5">
        <w:rPr>
          <w:rFonts w:ascii="Times New Roman" w:hAnsi="Times New Roman" w:cs="Times New Roman"/>
          <w:sz w:val="28"/>
          <w:szCs w:val="28"/>
        </w:rPr>
        <w:lastRenderedPageBreak/>
        <w:t xml:space="preserve">une </w:t>
      </w:r>
      <w:r w:rsidRPr="008A2EE5">
        <w:rPr>
          <w:rFonts w:ascii="Times New Roman" w:hAnsi="Times New Roman" w:cs="Times New Roman"/>
          <w:sz w:val="28"/>
          <w:szCs w:val="28"/>
        </w:rPr>
        <w:t xml:space="preserve">atteinte des nerfs 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craniens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>, des muscles axiaux et respiratoires.</w:t>
      </w:r>
      <w:r w:rsidR="00776426" w:rsidRPr="008A2EE5">
        <w:rPr>
          <w:rFonts w:ascii="Times New Roman" w:hAnsi="Times New Roman" w:cs="Times New Roman"/>
          <w:sz w:val="28"/>
          <w:szCs w:val="28"/>
        </w:rPr>
        <w:t xml:space="preserve"> Les paires </w:t>
      </w:r>
      <w:proofErr w:type="spellStart"/>
      <w:r w:rsidR="00776426" w:rsidRPr="008A2EE5">
        <w:rPr>
          <w:rFonts w:ascii="Times New Roman" w:hAnsi="Times New Roman" w:cs="Times New Roman"/>
          <w:sz w:val="28"/>
          <w:szCs w:val="28"/>
        </w:rPr>
        <w:t>craniennes</w:t>
      </w:r>
      <w:proofErr w:type="spellEnd"/>
      <w:r w:rsidR="00776426" w:rsidRPr="008A2EE5">
        <w:rPr>
          <w:rFonts w:ascii="Times New Roman" w:hAnsi="Times New Roman" w:cs="Times New Roman"/>
          <w:sz w:val="28"/>
          <w:szCs w:val="28"/>
        </w:rPr>
        <w:t xml:space="preserve"> les plus </w:t>
      </w:r>
      <w:r w:rsidRPr="008A2EE5">
        <w:rPr>
          <w:rFonts w:ascii="Times New Roman" w:hAnsi="Times New Roman" w:cs="Times New Roman"/>
          <w:sz w:val="28"/>
          <w:szCs w:val="28"/>
        </w:rPr>
        <w:t>fréquemment atteintes sont le VII (diplégie faciale périphérique), IX et X (troubles d</w:t>
      </w:r>
      <w:r w:rsidR="00776426" w:rsidRPr="008A2EE5">
        <w:rPr>
          <w:rFonts w:ascii="Times New Roman" w:hAnsi="Times New Roman" w:cs="Times New Roman"/>
          <w:sz w:val="28"/>
          <w:szCs w:val="28"/>
        </w:rPr>
        <w:t xml:space="preserve">e la 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déglution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>.</w:t>
      </w:r>
      <w:r w:rsidR="00776426" w:rsidRPr="008A2EE5">
        <w:rPr>
          <w:rFonts w:ascii="Times New Roman" w:hAnsi="Times New Roman" w:cs="Times New Roman"/>
          <w:sz w:val="28"/>
          <w:szCs w:val="28"/>
        </w:rPr>
        <w:t xml:space="preserve"> Les troubles de la sensibilité </w:t>
      </w:r>
      <w:r w:rsidRPr="008A2EE5">
        <w:rPr>
          <w:rFonts w:ascii="Times New Roman" w:hAnsi="Times New Roman" w:cs="Times New Roman"/>
          <w:sz w:val="28"/>
          <w:szCs w:val="28"/>
        </w:rPr>
        <w:t>concernent essentiellement la proprioception et le toucher.</w:t>
      </w:r>
    </w:p>
    <w:p w:rsidR="00007663" w:rsidRPr="008A2EE5" w:rsidRDefault="00007663" w:rsidP="0077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Des formes atypiques sont possibles : forme descendante, asymétrique, motrice pure (notammen</w:t>
      </w:r>
      <w:r w:rsidR="00776426" w:rsidRPr="008A2EE5">
        <w:rPr>
          <w:rFonts w:ascii="Times New Roman" w:hAnsi="Times New Roman" w:cs="Times New Roman"/>
          <w:sz w:val="28"/>
          <w:szCs w:val="28"/>
        </w:rPr>
        <w:t xml:space="preserve">t </w:t>
      </w:r>
      <w:r w:rsidRPr="008A2EE5">
        <w:rPr>
          <w:rFonts w:ascii="Times New Roman" w:hAnsi="Times New Roman" w:cs="Times New Roman"/>
          <w:sz w:val="28"/>
          <w:szCs w:val="28"/>
        </w:rPr>
        <w:t xml:space="preserve">dans les formes 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axonales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 xml:space="preserve"> post C. 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jejuni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>), évolution suraigüe en m</w:t>
      </w:r>
      <w:r w:rsidR="00776426" w:rsidRPr="008A2EE5">
        <w:rPr>
          <w:rFonts w:ascii="Times New Roman" w:hAnsi="Times New Roman" w:cs="Times New Roman"/>
          <w:sz w:val="28"/>
          <w:szCs w:val="28"/>
        </w:rPr>
        <w:t>oins de 24 heures</w:t>
      </w:r>
    </w:p>
    <w:p w:rsidR="00007663" w:rsidRPr="008A2EE5" w:rsidRDefault="00007663" w:rsidP="00007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EE5">
        <w:rPr>
          <w:rFonts w:ascii="Times New Roman" w:hAnsi="Times New Roman" w:cs="Times New Roman"/>
          <w:b/>
          <w:bCs/>
          <w:sz w:val="28"/>
          <w:szCs w:val="28"/>
        </w:rPr>
        <w:t>2- Phase de plateau :</w:t>
      </w:r>
    </w:p>
    <w:p w:rsidR="00007663" w:rsidRPr="008A2EE5" w:rsidRDefault="00007663" w:rsidP="00007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Cette phase est de durée variable. A ce stade, des paresthésies ou des douleurs sont présentes</w:t>
      </w:r>
    </w:p>
    <w:p w:rsidR="00007663" w:rsidRPr="008A2EE5" w:rsidRDefault="00007663" w:rsidP="0077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2EE5">
        <w:rPr>
          <w:rFonts w:ascii="Times New Roman" w:hAnsi="Times New Roman" w:cs="Times New Roman"/>
          <w:sz w:val="28"/>
          <w:szCs w:val="28"/>
        </w:rPr>
        <w:t>dans</w:t>
      </w:r>
      <w:proofErr w:type="gramEnd"/>
      <w:r w:rsidRPr="008A2EE5">
        <w:rPr>
          <w:rFonts w:ascii="Times New Roman" w:hAnsi="Times New Roman" w:cs="Times New Roman"/>
          <w:sz w:val="28"/>
          <w:szCs w:val="28"/>
        </w:rPr>
        <w:t xml:space="preserve"> 80% des cas ; l’aréflexie est généralisée chez 80% des patien</w:t>
      </w:r>
      <w:r w:rsidR="00776426" w:rsidRPr="008A2EE5">
        <w:rPr>
          <w:rFonts w:ascii="Times New Roman" w:hAnsi="Times New Roman" w:cs="Times New Roman"/>
          <w:sz w:val="28"/>
          <w:szCs w:val="28"/>
        </w:rPr>
        <w:t>ts, 2/3 perdent la marche et 25</w:t>
      </w:r>
      <w:r w:rsidRPr="008A2EE5">
        <w:rPr>
          <w:rFonts w:ascii="Times New Roman" w:hAnsi="Times New Roman" w:cs="Times New Roman"/>
          <w:sz w:val="28"/>
          <w:szCs w:val="28"/>
        </w:rPr>
        <w:t>- 30% évoluent vers une insuffisance respiratoire.</w:t>
      </w:r>
    </w:p>
    <w:p w:rsidR="00007663" w:rsidRPr="008A2EE5" w:rsidRDefault="00007663" w:rsidP="00007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EE5">
        <w:rPr>
          <w:rFonts w:ascii="Times New Roman" w:hAnsi="Times New Roman" w:cs="Times New Roman"/>
          <w:b/>
          <w:bCs/>
          <w:sz w:val="28"/>
          <w:szCs w:val="28"/>
        </w:rPr>
        <w:t>3- Phase de récupération :</w:t>
      </w:r>
    </w:p>
    <w:p w:rsidR="00007663" w:rsidRPr="008A2EE5" w:rsidRDefault="00007663" w:rsidP="0077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La récupération motrice peut être longue, puisque 20 % des patie</w:t>
      </w:r>
      <w:r w:rsidR="00776426" w:rsidRPr="008A2EE5">
        <w:rPr>
          <w:rFonts w:ascii="Times New Roman" w:hAnsi="Times New Roman" w:cs="Times New Roman"/>
          <w:sz w:val="28"/>
          <w:szCs w:val="28"/>
        </w:rPr>
        <w:t xml:space="preserve">nts ne recouvrent pas la marche </w:t>
      </w:r>
      <w:r w:rsidRPr="008A2EE5">
        <w:rPr>
          <w:rFonts w:ascii="Times New Roman" w:hAnsi="Times New Roman" w:cs="Times New Roman"/>
          <w:sz w:val="28"/>
          <w:szCs w:val="28"/>
        </w:rPr>
        <w:t>à 6 mois. Près de 10% des patients présentent encore des</w:t>
      </w:r>
      <w:r w:rsidR="00776426" w:rsidRPr="008A2EE5">
        <w:rPr>
          <w:rFonts w:ascii="Times New Roman" w:hAnsi="Times New Roman" w:cs="Times New Roman"/>
          <w:sz w:val="28"/>
          <w:szCs w:val="28"/>
        </w:rPr>
        <w:t xml:space="preserve"> symptômes résiduels à 3 ans de </w:t>
      </w:r>
      <w:r w:rsidRPr="008A2EE5">
        <w:rPr>
          <w:rFonts w:ascii="Times New Roman" w:hAnsi="Times New Roman" w:cs="Times New Roman"/>
          <w:sz w:val="28"/>
          <w:szCs w:val="28"/>
        </w:rPr>
        <w:t>l’épisode. Des fluctuations cliniques peuvent être observées apr</w:t>
      </w:r>
      <w:r w:rsidR="00776426" w:rsidRPr="008A2EE5">
        <w:rPr>
          <w:rFonts w:ascii="Times New Roman" w:hAnsi="Times New Roman" w:cs="Times New Roman"/>
          <w:sz w:val="28"/>
          <w:szCs w:val="28"/>
        </w:rPr>
        <w:t xml:space="preserve">ès le début du traitement, avec </w:t>
      </w:r>
      <w:r w:rsidRPr="008A2EE5">
        <w:rPr>
          <w:rFonts w:ascii="Times New Roman" w:hAnsi="Times New Roman" w:cs="Times New Roman"/>
          <w:sz w:val="28"/>
          <w:szCs w:val="28"/>
        </w:rPr>
        <w:t xml:space="preserve">une possibilité de 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réaggravation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 xml:space="preserve"> secondaire.</w:t>
      </w:r>
    </w:p>
    <w:p w:rsidR="00007663" w:rsidRPr="008A2EE5" w:rsidRDefault="00007663" w:rsidP="007764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 xml:space="preserve">Des rechutes de SGB sont observées dans 2 à 5% des cas. </w:t>
      </w:r>
    </w:p>
    <w:p w:rsidR="00007663" w:rsidRPr="008A2EE5" w:rsidRDefault="00007663" w:rsidP="00007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7663" w:rsidRPr="008A2EE5" w:rsidRDefault="00007663" w:rsidP="000076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EE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76426" w:rsidRPr="008A2EE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2EE5">
        <w:rPr>
          <w:rFonts w:ascii="Times New Roman" w:hAnsi="Times New Roman" w:cs="Times New Roman"/>
          <w:b/>
          <w:bCs/>
          <w:sz w:val="28"/>
          <w:szCs w:val="28"/>
        </w:rPr>
        <w:t xml:space="preserve"> Complications :</w:t>
      </w:r>
    </w:p>
    <w:p w:rsidR="00007663" w:rsidRPr="008A2EE5" w:rsidRDefault="00007663" w:rsidP="0077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 xml:space="preserve">Les complications respiratoires, bulbaires et 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dysautonomiques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 xml:space="preserve"> et ce</w:t>
      </w:r>
      <w:r w:rsidR="00776426" w:rsidRPr="008A2EE5">
        <w:rPr>
          <w:rFonts w:ascii="Times New Roman" w:hAnsi="Times New Roman" w:cs="Times New Roman"/>
          <w:sz w:val="28"/>
          <w:szCs w:val="28"/>
        </w:rPr>
        <w:t xml:space="preserve">lles du décubitus font toute la </w:t>
      </w:r>
      <w:r w:rsidRPr="008A2EE5">
        <w:rPr>
          <w:rFonts w:ascii="Times New Roman" w:hAnsi="Times New Roman" w:cs="Times New Roman"/>
          <w:sz w:val="28"/>
          <w:szCs w:val="28"/>
        </w:rPr>
        <w:t>gravité de la maladie. Elles doivent être recherch</w:t>
      </w:r>
      <w:r w:rsidR="00776426" w:rsidRPr="008A2EE5">
        <w:rPr>
          <w:rFonts w:ascii="Times New Roman" w:hAnsi="Times New Roman" w:cs="Times New Roman"/>
          <w:sz w:val="28"/>
          <w:szCs w:val="28"/>
        </w:rPr>
        <w:t>ées et prévenues quotidiennement</w:t>
      </w:r>
    </w:p>
    <w:p w:rsidR="00776426" w:rsidRPr="008A2EE5" w:rsidRDefault="00776426" w:rsidP="0077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426" w:rsidRPr="008A2EE5" w:rsidRDefault="00776426" w:rsidP="0077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EE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2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Insuffisance respiratoire aigue</w:t>
      </w:r>
      <w:r w:rsidRPr="008A2EE5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776426" w:rsidRPr="008A2EE5" w:rsidRDefault="00776426" w:rsidP="0077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Cette complication est la principale cause de mortalité au cours du SGB ; l’instauration d’une</w:t>
      </w:r>
    </w:p>
    <w:p w:rsidR="00776426" w:rsidRPr="008A2EE5" w:rsidRDefault="00776426" w:rsidP="0077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Ventilation mécanique étant nécessaire chez 20 à 30% des patients Elle est consécutive au déficit des muscles inspiratoires et expiratoires.</w:t>
      </w:r>
    </w:p>
    <w:p w:rsidR="00776426" w:rsidRPr="008A2EE5" w:rsidRDefault="00776426" w:rsidP="0077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EE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2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Atteinte bulbaire</w:t>
      </w:r>
      <w:r w:rsidRPr="008A2EE5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776426" w:rsidRPr="008A2EE5" w:rsidRDefault="00776426" w:rsidP="0077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Elle survient dans 30% des cas et favorise les fausses routes, la pneumopathie d’inhalation</w:t>
      </w:r>
    </w:p>
    <w:p w:rsidR="00776426" w:rsidRPr="008A2EE5" w:rsidRDefault="00776426" w:rsidP="0077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 xml:space="preserve">(Rapportée chez 70% des patients qui ont été </w:t>
      </w:r>
      <w:r w:rsidRPr="008A2EE5">
        <w:rPr>
          <w:rFonts w:ascii="Times New Roman" w:hAnsi="Times New Roman" w:cs="Times New Roman"/>
          <w:i/>
          <w:iCs/>
          <w:sz w:val="28"/>
          <w:szCs w:val="28"/>
        </w:rPr>
        <w:t>intubés</w:t>
      </w:r>
      <w:r w:rsidRPr="008A2EE5">
        <w:rPr>
          <w:rFonts w:ascii="Times New Roman" w:hAnsi="Times New Roman" w:cs="Times New Roman"/>
          <w:sz w:val="28"/>
          <w:szCs w:val="28"/>
        </w:rPr>
        <w:t>)</w:t>
      </w:r>
    </w:p>
    <w:p w:rsidR="00776426" w:rsidRPr="008A2EE5" w:rsidRDefault="00776426" w:rsidP="0077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EE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2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Maladie veineuse </w:t>
      </w:r>
      <w:proofErr w:type="spellStart"/>
      <w:r w:rsidRPr="008A2EE5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thrombo-embolique</w:t>
      </w:r>
      <w:proofErr w:type="spellEnd"/>
      <w:r w:rsidRPr="008A2EE5">
        <w:rPr>
          <w:rFonts w:ascii="Times New Roman" w:hAnsi="Times New Roman" w:cs="Times New Roman"/>
          <w:b/>
          <w:bCs/>
          <w:sz w:val="28"/>
          <w:szCs w:val="28"/>
        </w:rPr>
        <w:t> :</w:t>
      </w:r>
    </w:p>
    <w:p w:rsidR="00776426" w:rsidRPr="008A2EE5" w:rsidRDefault="00776426" w:rsidP="0077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Risque de thromboses veineuses profondes et/ou d’embolie pulmonaire</w:t>
      </w:r>
    </w:p>
    <w:p w:rsidR="00776426" w:rsidRPr="008A2EE5" w:rsidRDefault="00776426" w:rsidP="0077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426" w:rsidRPr="008A2EE5" w:rsidRDefault="00776426" w:rsidP="0077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EE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230AC" w:rsidRPr="008A2EE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A2EE5">
        <w:rPr>
          <w:rFonts w:ascii="Times New Roman" w:hAnsi="Times New Roman" w:cs="Times New Roman"/>
          <w:b/>
          <w:bCs/>
          <w:sz w:val="28"/>
          <w:szCs w:val="28"/>
        </w:rPr>
        <w:t>formes cliniques :</w:t>
      </w:r>
    </w:p>
    <w:p w:rsidR="00776426" w:rsidRPr="008A2EE5" w:rsidRDefault="00776426" w:rsidP="0077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 xml:space="preserve"> Le syndrome de Miller-Fisher se caractérise par une 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ophtalmoplégie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>, une ataxie, et une</w:t>
      </w:r>
    </w:p>
    <w:p w:rsidR="00776426" w:rsidRPr="008A2EE5" w:rsidRDefault="00A230AC" w:rsidP="0077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Aréflexie</w:t>
      </w:r>
      <w:r w:rsidR="00776426" w:rsidRPr="008A2EE5">
        <w:rPr>
          <w:rFonts w:ascii="Times New Roman" w:hAnsi="Times New Roman" w:cs="Times New Roman"/>
          <w:sz w:val="28"/>
          <w:szCs w:val="28"/>
        </w:rPr>
        <w:t xml:space="preserve"> sans déficit moteur. Son évolution est habituellement favorable, sans atteinte</w:t>
      </w:r>
    </w:p>
    <w:p w:rsidR="00776426" w:rsidRPr="008A2EE5" w:rsidRDefault="00A230AC" w:rsidP="0077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Respiratoire</w:t>
      </w:r>
      <w:r w:rsidR="00776426" w:rsidRPr="008A2EE5">
        <w:rPr>
          <w:rFonts w:ascii="Times New Roman" w:hAnsi="Times New Roman" w:cs="Times New Roman"/>
          <w:sz w:val="28"/>
          <w:szCs w:val="28"/>
        </w:rPr>
        <w:t>; des formes de transition sont néanmoins possibles avec le SGB.</w:t>
      </w:r>
    </w:p>
    <w:p w:rsidR="00A230AC" w:rsidRPr="008A2EE5" w:rsidRDefault="00A230AC" w:rsidP="007764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0AC" w:rsidRPr="008A2EE5" w:rsidRDefault="008A2EE5" w:rsidP="00A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EE5">
        <w:rPr>
          <w:rFonts w:ascii="Times New Roman" w:hAnsi="Times New Roman" w:cs="Times New Roman"/>
          <w:b/>
          <w:bCs/>
          <w:sz w:val="28"/>
          <w:szCs w:val="28"/>
        </w:rPr>
        <w:t>IV-</w:t>
      </w:r>
      <w:r w:rsidR="00A230AC" w:rsidRPr="008A2EE5">
        <w:rPr>
          <w:rFonts w:ascii="Times New Roman" w:hAnsi="Times New Roman" w:cs="Times New Roman"/>
          <w:b/>
          <w:bCs/>
          <w:sz w:val="28"/>
          <w:szCs w:val="28"/>
        </w:rPr>
        <w:t>EXAMENS COMPLEMENTAIRES</w:t>
      </w:r>
    </w:p>
    <w:p w:rsidR="00A230AC" w:rsidRPr="008A2EE5" w:rsidRDefault="00A230AC" w:rsidP="00A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EE5">
        <w:rPr>
          <w:rFonts w:ascii="Times New Roman" w:hAnsi="Times New Roman" w:cs="Times New Roman"/>
          <w:b/>
          <w:bCs/>
          <w:sz w:val="28"/>
          <w:szCs w:val="28"/>
        </w:rPr>
        <w:t xml:space="preserve">1- </w:t>
      </w:r>
      <w:proofErr w:type="spellStart"/>
      <w:r w:rsidRPr="008A2EE5">
        <w:rPr>
          <w:rFonts w:ascii="Times New Roman" w:hAnsi="Times New Roman" w:cs="Times New Roman"/>
          <w:b/>
          <w:bCs/>
          <w:sz w:val="28"/>
          <w:szCs w:val="28"/>
        </w:rPr>
        <w:t>Electroneuromyogramme</w:t>
      </w:r>
      <w:proofErr w:type="spellEnd"/>
    </w:p>
    <w:p w:rsidR="00A230AC" w:rsidRPr="008A2EE5" w:rsidRDefault="00A230AC" w:rsidP="00A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 xml:space="preserve">L’ENMG permet de distinguer les formes 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démyélinisantes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 xml:space="preserve"> de celles 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axonales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 xml:space="preserve"> mais également</w:t>
      </w:r>
    </w:p>
    <w:p w:rsidR="00A230AC" w:rsidRPr="008A2EE5" w:rsidRDefault="00A230AC" w:rsidP="00A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2EE5">
        <w:rPr>
          <w:rFonts w:ascii="Times New Roman" w:hAnsi="Times New Roman" w:cs="Times New Roman"/>
          <w:sz w:val="28"/>
          <w:szCs w:val="28"/>
        </w:rPr>
        <w:t>d’apporter</w:t>
      </w:r>
      <w:proofErr w:type="gramEnd"/>
      <w:r w:rsidRPr="008A2EE5">
        <w:rPr>
          <w:rFonts w:ascii="Times New Roman" w:hAnsi="Times New Roman" w:cs="Times New Roman"/>
          <w:sz w:val="28"/>
          <w:szCs w:val="28"/>
        </w:rPr>
        <w:t xml:space="preserve"> des éléments pronostiques puisque les premières seraient plus associées à la survenue d’une insuffisance respiratoire aiguë et les secondes aux séquelles</w:t>
      </w:r>
    </w:p>
    <w:p w:rsidR="00A230AC" w:rsidRPr="008A2EE5" w:rsidRDefault="00A230AC" w:rsidP="00A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A2EE5">
        <w:rPr>
          <w:rFonts w:ascii="Times New Roman" w:hAnsi="Times New Roman" w:cs="Times New Roman"/>
          <w:b/>
          <w:bCs/>
          <w:sz w:val="28"/>
          <w:szCs w:val="28"/>
        </w:rPr>
        <w:t>2 -Ponction Lombaire</w:t>
      </w:r>
    </w:p>
    <w:p w:rsidR="00A230AC" w:rsidRPr="008A2EE5" w:rsidRDefault="00A230AC" w:rsidP="00A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 xml:space="preserve">Elle met en évidence une dissociation 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albumino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>-cytologique, se définissant par une</w:t>
      </w:r>
    </w:p>
    <w:p w:rsidR="00A230AC" w:rsidRPr="008A2EE5" w:rsidRDefault="00A230AC" w:rsidP="00A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A2EE5">
        <w:rPr>
          <w:rFonts w:ascii="Times New Roman" w:hAnsi="Times New Roman" w:cs="Times New Roman"/>
          <w:sz w:val="28"/>
          <w:szCs w:val="28"/>
        </w:rPr>
        <w:t>hyperprotéinorachie</w:t>
      </w:r>
      <w:proofErr w:type="spellEnd"/>
      <w:proofErr w:type="gramEnd"/>
      <w:r w:rsidRPr="008A2EE5">
        <w:rPr>
          <w:rFonts w:ascii="Times New Roman" w:hAnsi="Times New Roman" w:cs="Times New Roman"/>
          <w:sz w:val="28"/>
          <w:szCs w:val="28"/>
        </w:rPr>
        <w:t xml:space="preserve"> sans réaction cellulaire et pouvant n’apparaitre qu’au-delà du 15ème jour</w:t>
      </w:r>
    </w:p>
    <w:p w:rsidR="00A230AC" w:rsidRDefault="00A230AC" w:rsidP="00A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A2EE5">
        <w:rPr>
          <w:rFonts w:ascii="Times New Roman" w:hAnsi="Times New Roman" w:cs="Times New Roman"/>
          <w:sz w:val="28"/>
          <w:szCs w:val="28"/>
        </w:rPr>
        <w:t>d’évolution</w:t>
      </w:r>
      <w:proofErr w:type="gramEnd"/>
      <w:r w:rsidRPr="008A2EE5">
        <w:rPr>
          <w:rFonts w:ascii="Times New Roman" w:hAnsi="Times New Roman" w:cs="Times New Roman"/>
          <w:sz w:val="28"/>
          <w:szCs w:val="28"/>
        </w:rPr>
        <w:t xml:space="preserve">. Son principal intérêt est d’éliminer une 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méningoradiculite</w:t>
      </w:r>
      <w:proofErr w:type="spellEnd"/>
    </w:p>
    <w:p w:rsidR="00A230AC" w:rsidRDefault="00A230AC" w:rsidP="00A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0AC" w:rsidRDefault="00A230AC" w:rsidP="00A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0AC" w:rsidRPr="008A2EE5" w:rsidRDefault="008A2EE5" w:rsidP="00A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8A2EE5">
        <w:rPr>
          <w:rFonts w:ascii="Times New Roman" w:hAnsi="Times New Roman" w:cs="Times New Roman"/>
          <w:sz w:val="32"/>
          <w:szCs w:val="32"/>
        </w:rPr>
        <w:t>V-</w:t>
      </w:r>
      <w:r w:rsidR="00A230AC" w:rsidRPr="008A2EE5">
        <w:rPr>
          <w:rFonts w:ascii="Times New Roman" w:hAnsi="Times New Roman" w:cs="Times New Roman"/>
          <w:b/>
          <w:bCs/>
          <w:sz w:val="32"/>
          <w:szCs w:val="32"/>
        </w:rPr>
        <w:t xml:space="preserve"> Diagnostics différentiels</w:t>
      </w:r>
    </w:p>
    <w:p w:rsidR="00A230AC" w:rsidRPr="008A2EE5" w:rsidRDefault="00A230AC" w:rsidP="00A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Les principaux diagnostics :</w:t>
      </w:r>
    </w:p>
    <w:p w:rsidR="00A230AC" w:rsidRPr="008A2EE5" w:rsidRDefault="00A230AC" w:rsidP="00A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30AC" w:rsidRPr="008A2EE5" w:rsidRDefault="00A230AC" w:rsidP="00A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 xml:space="preserve">- Une 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méningoradiculite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 xml:space="preserve">, évoquée sur la présence d’une 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hypercellulorachie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 xml:space="preserve">, doit faire suspecter et traiter en premier lieu une infection par un Herpes virus et par 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Borrélia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Lyme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>)</w:t>
      </w:r>
    </w:p>
    <w:p w:rsidR="00A230AC" w:rsidRPr="008A2EE5" w:rsidRDefault="00A230AC" w:rsidP="00A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-compression médullaire</w:t>
      </w:r>
      <w:r w:rsidR="008A2EE5" w:rsidRPr="008A2EE5">
        <w:rPr>
          <w:rFonts w:ascii="Times New Roman" w:hAnsi="Times New Roman" w:cs="Times New Roman"/>
          <w:sz w:val="28"/>
          <w:szCs w:val="28"/>
        </w:rPr>
        <w:t>.</w:t>
      </w:r>
    </w:p>
    <w:p w:rsidR="007E4BB3" w:rsidRDefault="007E4BB3" w:rsidP="00A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BB3" w:rsidRDefault="008A2EE5" w:rsidP="00A230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VI-</w:t>
      </w:r>
      <w:r w:rsidR="007E4BB3" w:rsidRPr="007E4BB3">
        <w:rPr>
          <w:rFonts w:ascii="Times New Roman" w:hAnsi="Times New Roman" w:cs="Times New Roman"/>
          <w:b/>
          <w:bCs/>
          <w:sz w:val="32"/>
          <w:szCs w:val="32"/>
        </w:rPr>
        <w:t>Traitement</w:t>
      </w:r>
    </w:p>
    <w:p w:rsidR="007E4BB3" w:rsidRPr="008A2EE5" w:rsidRDefault="007E4BB3" w:rsidP="007E4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L’objectif de limiter l'extension des paralysies, favoriser la récupération motrice, diminuer les séquelles. Il est logique de les utiliser le plus précocement possible.</w:t>
      </w:r>
    </w:p>
    <w:p w:rsidR="007E4BB3" w:rsidRPr="008A2EE5" w:rsidRDefault="007E4BB3" w:rsidP="007E4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- Les échanges plasmatiques (EP) et les immunoglobulines intraveineuses (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IgIv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>) ont fait la</w:t>
      </w:r>
    </w:p>
    <w:p w:rsidR="007E4BB3" w:rsidRPr="008A2EE5" w:rsidRDefault="007E4BB3" w:rsidP="007E4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Preuve de leur efficacité, les corticoïdes n’ayant aucune indication.</w:t>
      </w:r>
    </w:p>
    <w:p w:rsidR="007E4BB3" w:rsidRPr="008A2EE5" w:rsidRDefault="007E4BB3" w:rsidP="007E4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- Le choix entre ces deux thérapeutiques dépend de leurs contre-indications respectives;</w:t>
      </w:r>
    </w:p>
    <w:p w:rsidR="007E4BB3" w:rsidRPr="008A2EE5" w:rsidRDefault="007E4BB3" w:rsidP="007E4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Infectieuses et hémorragiques pour les EP et l'insuffisance rénale, les allergies connues et</w:t>
      </w:r>
    </w:p>
    <w:p w:rsidR="007E4BB3" w:rsidRPr="008A2EE5" w:rsidRDefault="007E4BB3" w:rsidP="007E4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A2EE5">
        <w:rPr>
          <w:rFonts w:ascii="Times New Roman" w:hAnsi="Times New Roman" w:cs="Times New Roman"/>
          <w:sz w:val="28"/>
          <w:szCs w:val="28"/>
        </w:rPr>
        <w:t>les</w:t>
      </w:r>
      <w:proofErr w:type="gramEnd"/>
      <w:r w:rsidRPr="008A2EE5">
        <w:rPr>
          <w:rFonts w:ascii="Times New Roman" w:hAnsi="Times New Roman" w:cs="Times New Roman"/>
          <w:sz w:val="28"/>
          <w:szCs w:val="28"/>
        </w:rPr>
        <w:t xml:space="preserve"> déficit en 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IgA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 xml:space="preserve"> pour les 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IgIv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>.</w:t>
      </w:r>
    </w:p>
    <w:p w:rsidR="007E4BB3" w:rsidRPr="008A2EE5" w:rsidRDefault="007E4BB3" w:rsidP="007E4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- Deux séances à 4 séances d’EP sont préconisées chez les patients qui n'ont pas perdu la marche</w:t>
      </w:r>
    </w:p>
    <w:p w:rsidR="007E4BB3" w:rsidRPr="008A2EE5" w:rsidRDefault="007E4BB3" w:rsidP="007E4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- La dose d’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IgIv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 xml:space="preserve"> est de 0,4 g/kg/jour pendant 5 jours à répéter en cas de besoins </w:t>
      </w:r>
    </w:p>
    <w:p w:rsidR="007E4BB3" w:rsidRPr="008A2EE5" w:rsidRDefault="007E4BB3" w:rsidP="007E4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-Prise en charge des troubles de déglutition</w:t>
      </w:r>
    </w:p>
    <w:p w:rsidR="007E4BB3" w:rsidRPr="008A2EE5" w:rsidRDefault="007E4BB3" w:rsidP="007E4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 xml:space="preserve">-Prévention des complications 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thrombo-emboliques</w:t>
      </w:r>
      <w:proofErr w:type="spellEnd"/>
      <w:r w:rsidRPr="008A2E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2EE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A2EE5">
        <w:rPr>
          <w:rFonts w:ascii="Times New Roman" w:hAnsi="Times New Roman" w:cs="Times New Roman"/>
          <w:sz w:val="28"/>
          <w:szCs w:val="28"/>
        </w:rPr>
        <w:t>Anticoagulation</w:t>
      </w:r>
      <w:proofErr w:type="spellEnd"/>
      <w:r w:rsidRPr="008A2EE5">
        <w:rPr>
          <w:rFonts w:ascii="Times New Roman" w:hAnsi="Times New Roman" w:cs="Times New Roman"/>
          <w:sz w:val="28"/>
          <w:szCs w:val="28"/>
        </w:rPr>
        <w:t xml:space="preserve"> préventive jusqu’à reprise de la marche</w:t>
      </w:r>
    </w:p>
    <w:p w:rsidR="007E4BB3" w:rsidRPr="008A2EE5" w:rsidRDefault="007E4BB3" w:rsidP="00E05A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EE5">
        <w:rPr>
          <w:rFonts w:ascii="Times New Roman" w:hAnsi="Times New Roman" w:cs="Times New Roman"/>
          <w:sz w:val="28"/>
          <w:szCs w:val="28"/>
        </w:rPr>
        <w:t>-Kinésithérapie motrice pour éviter les rétractions tendineuses et respiratoire pour lutter contre</w:t>
      </w:r>
      <w:r w:rsidR="00E05A74">
        <w:rPr>
          <w:rFonts w:ascii="Times New Roman" w:hAnsi="Times New Roman" w:cs="Times New Roman"/>
          <w:sz w:val="28"/>
          <w:szCs w:val="28"/>
        </w:rPr>
        <w:t xml:space="preserve"> l</w:t>
      </w:r>
      <w:r w:rsidRPr="008A2EE5">
        <w:rPr>
          <w:rFonts w:ascii="Times New Roman" w:hAnsi="Times New Roman" w:cs="Times New Roman"/>
          <w:sz w:val="28"/>
          <w:szCs w:val="28"/>
        </w:rPr>
        <w:t>’encombrement.</w:t>
      </w:r>
    </w:p>
    <w:p w:rsidR="007E4BB3" w:rsidRPr="008A2EE5" w:rsidRDefault="007E4BB3" w:rsidP="007E4B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4BB3" w:rsidRPr="008A2EE5" w:rsidSect="00E2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1F88"/>
    <w:rsid w:val="00007663"/>
    <w:rsid w:val="00776426"/>
    <w:rsid w:val="007E4BB3"/>
    <w:rsid w:val="008A2EE5"/>
    <w:rsid w:val="00A230AC"/>
    <w:rsid w:val="00E05A74"/>
    <w:rsid w:val="00E25E5B"/>
    <w:rsid w:val="00FD1F88"/>
    <w:rsid w:val="00FD2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E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951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Pctec</dc:creator>
  <cp:lastModifiedBy>Pctec</cp:lastModifiedBy>
  <cp:revision>5</cp:revision>
  <dcterms:created xsi:type="dcterms:W3CDTF">2017-02-22T20:47:00Z</dcterms:created>
  <dcterms:modified xsi:type="dcterms:W3CDTF">2017-02-22T21:46:00Z</dcterms:modified>
</cp:coreProperties>
</file>