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CF" w:rsidRPr="004200AC" w:rsidRDefault="004200AC" w:rsidP="004200AC">
      <w:pPr>
        <w:pStyle w:val="Sansinterlign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Leptospirose</w:t>
      </w:r>
    </w:p>
    <w:p w:rsidR="00572473" w:rsidRPr="003A65AF" w:rsidRDefault="00EB26CF" w:rsidP="004200AC">
      <w:pPr>
        <w:pStyle w:val="Sansinterligne"/>
        <w:rPr>
          <w:rFonts w:ascii="Arial-BoldMT" w:hAnsi="Arial-BoldMT" w:cs="Arial-BoldMT"/>
          <w:b/>
          <w:bCs/>
          <w:color w:val="0070C0"/>
        </w:rPr>
      </w:pPr>
      <w:r w:rsidRPr="003A65AF">
        <w:rPr>
          <w:rFonts w:ascii="ArialMT" w:hAnsi="ArialMT" w:cs="ArialMT"/>
          <w:b/>
          <w:bCs/>
          <w:color w:val="0070C0"/>
        </w:rPr>
        <w:t xml:space="preserve">1. </w:t>
      </w:r>
      <w:r w:rsidRPr="003A65AF">
        <w:rPr>
          <w:rFonts w:ascii="Arial-BoldMT" w:hAnsi="Arial-BoldMT" w:cs="Arial-BoldMT"/>
          <w:b/>
          <w:bCs/>
          <w:color w:val="0070C0"/>
        </w:rPr>
        <w:t>Généralités</w:t>
      </w:r>
    </w:p>
    <w:p w:rsidR="00D34E21" w:rsidRPr="00D34E21" w:rsidRDefault="00D34E21" w:rsidP="004200AC">
      <w:pPr>
        <w:pStyle w:val="Sansinterligne"/>
        <w:rPr>
          <w:rFonts w:ascii="Arial-BoldMT" w:hAnsi="Arial-BoldMT" w:cs="Arial-BoldMT"/>
          <w:color w:val="0070C0"/>
          <w:sz w:val="20"/>
          <w:szCs w:val="20"/>
        </w:rPr>
      </w:pPr>
    </w:p>
    <w:p w:rsidR="0002468C" w:rsidRDefault="00572473" w:rsidP="004200AC">
      <w:pPr>
        <w:pStyle w:val="Sansinterligne"/>
      </w:pPr>
      <w:r w:rsidRPr="00572473">
        <w:t xml:space="preserve">La leptospirose est une </w:t>
      </w:r>
      <w:proofErr w:type="spellStart"/>
      <w:r w:rsidR="00EF1661" w:rsidRPr="00172252">
        <w:rPr>
          <w:b/>
          <w:bCs/>
        </w:rPr>
        <w:t>anthropo</w:t>
      </w:r>
      <w:r w:rsidRPr="00172252">
        <w:rPr>
          <w:b/>
          <w:bCs/>
        </w:rPr>
        <w:t>zoonose</w:t>
      </w:r>
      <w:proofErr w:type="spellEnd"/>
      <w:r w:rsidRPr="00572473">
        <w:t xml:space="preserve"> causée par des spirochètes du genre </w:t>
      </w:r>
      <w:proofErr w:type="spellStart"/>
      <w:r w:rsidRPr="00572473">
        <w:t>Leptospira</w:t>
      </w:r>
      <w:proofErr w:type="spellEnd"/>
      <w:r w:rsidRPr="00572473">
        <w:t>.</w:t>
      </w:r>
    </w:p>
    <w:p w:rsidR="00EF1661" w:rsidRDefault="00EF1661" w:rsidP="004200AC">
      <w:pPr>
        <w:pStyle w:val="Sansinterligne"/>
      </w:pPr>
      <w:proofErr w:type="gramStart"/>
      <w:r>
        <w:t>maladie</w:t>
      </w:r>
      <w:proofErr w:type="gram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r w:rsidRPr="00172252">
        <w:rPr>
          <w:b/>
          <w:bCs/>
        </w:rPr>
        <w:t xml:space="preserve">a </w:t>
      </w:r>
      <w:proofErr w:type="spellStart"/>
      <w:r w:rsidRPr="00172252">
        <w:rPr>
          <w:b/>
          <w:bCs/>
        </w:rPr>
        <w:t>declaration</w:t>
      </w:r>
      <w:proofErr w:type="spellEnd"/>
      <w:r w:rsidRPr="00172252">
        <w:rPr>
          <w:b/>
          <w:bCs/>
        </w:rPr>
        <w:t xml:space="preserve"> </w:t>
      </w:r>
      <w:proofErr w:type="spellStart"/>
      <w:r w:rsidRPr="00172252">
        <w:rPr>
          <w:b/>
          <w:bCs/>
        </w:rPr>
        <w:t>obligatoure</w:t>
      </w:r>
      <w:proofErr w:type="spellEnd"/>
    </w:p>
    <w:p w:rsidR="00572473" w:rsidRPr="00572473" w:rsidRDefault="00572473" w:rsidP="004200AC">
      <w:pPr>
        <w:pStyle w:val="Sansinterligne"/>
      </w:pPr>
      <w:r w:rsidRPr="00572473">
        <w:t xml:space="preserve"> De nombreux</w:t>
      </w:r>
      <w:r w:rsidR="004200AC">
        <w:t xml:space="preserve"> </w:t>
      </w:r>
      <w:proofErr w:type="spellStart"/>
      <w:r w:rsidR="004200AC">
        <w:t>sérovars</w:t>
      </w:r>
      <w:proofErr w:type="spellEnd"/>
      <w:r w:rsidR="004200AC">
        <w:t xml:space="preserve">, regroupés en </w:t>
      </w:r>
      <w:proofErr w:type="spellStart"/>
      <w:r w:rsidRPr="00572473">
        <w:t>sérogroupes</w:t>
      </w:r>
      <w:proofErr w:type="spellEnd"/>
      <w:r w:rsidRPr="00572473">
        <w:t>, ont été impliqués en pathologie huma</w:t>
      </w:r>
      <w:r>
        <w:t>ine</w:t>
      </w:r>
      <w:r w:rsidRPr="00572473">
        <w:t>.</w:t>
      </w:r>
    </w:p>
    <w:p w:rsidR="00572473" w:rsidRDefault="00572473" w:rsidP="004200AC">
      <w:pPr>
        <w:pStyle w:val="Sansinterligne"/>
      </w:pPr>
      <w:r w:rsidRPr="00572473">
        <w:t>Le réservoir des leptospires est principalement animal, mais se prolonge dans l’environnement.</w:t>
      </w:r>
    </w:p>
    <w:p w:rsidR="00572473" w:rsidRDefault="004200AC" w:rsidP="004200AC">
      <w:pPr>
        <w:pStyle w:val="Sansinterligne"/>
      </w:pPr>
      <w:r>
        <w:t xml:space="preserve"> </w:t>
      </w:r>
      <w:r w:rsidR="00572473" w:rsidRPr="00572473">
        <w:t xml:space="preserve"> </w:t>
      </w:r>
      <w:proofErr w:type="gramStart"/>
      <w:r w:rsidR="00572473" w:rsidRPr="00572473">
        <w:t>les</w:t>
      </w:r>
      <w:proofErr w:type="gramEnd"/>
      <w:r w:rsidR="00572473" w:rsidRPr="00572473">
        <w:t xml:space="preserve"> bactéries survivent de façon</w:t>
      </w:r>
      <w:r w:rsidR="00572473">
        <w:t xml:space="preserve"> </w:t>
      </w:r>
      <w:r w:rsidR="00572473" w:rsidRPr="00572473">
        <w:t>prolongée dans le sol et les eaux douces.</w:t>
      </w:r>
    </w:p>
    <w:p w:rsidR="00572473" w:rsidRDefault="00572473" w:rsidP="004200AC">
      <w:pPr>
        <w:pStyle w:val="Sansinterligne"/>
      </w:pPr>
      <w:r w:rsidRPr="00572473">
        <w:t xml:space="preserve"> La contamination humaine, en général indirecte, se fait à travers les</w:t>
      </w:r>
      <w:r>
        <w:t xml:space="preserve"> </w:t>
      </w:r>
      <w:r w:rsidRPr="00572473">
        <w:t>muqueuses ou les excoriations cutanées, et par inhalation.</w:t>
      </w:r>
    </w:p>
    <w:p w:rsidR="00572473" w:rsidRPr="00572473" w:rsidRDefault="00572473" w:rsidP="004200AC">
      <w:pPr>
        <w:pStyle w:val="Sansinterligne"/>
      </w:pPr>
      <w:r w:rsidRPr="00572473">
        <w:t xml:space="preserve"> Les activités agricoles et nautiques constituent les</w:t>
      </w:r>
      <w:r>
        <w:t xml:space="preserve"> </w:t>
      </w:r>
      <w:r w:rsidRPr="00572473">
        <w:t>principaux facteurs de risque.</w:t>
      </w:r>
    </w:p>
    <w:p w:rsidR="00EB26CF" w:rsidRPr="00572473" w:rsidRDefault="00172252" w:rsidP="00172252">
      <w:pPr>
        <w:pStyle w:val="Sansinterligne"/>
      </w:pPr>
      <w:r>
        <w:t>Cliniquement,</w:t>
      </w:r>
      <w:r w:rsidR="00572473" w:rsidRPr="00572473">
        <w:t xml:space="preserve"> la leptospirose est responsable de manifestations variées, allant d’un syndrome</w:t>
      </w:r>
      <w:r w:rsidR="00572473">
        <w:t xml:space="preserve"> pseudo grippal </w:t>
      </w:r>
      <w:r w:rsidR="00572473" w:rsidRPr="00572473">
        <w:t xml:space="preserve">bénin à une atteinte hépatorénale potentiellement létale. Une méningite </w:t>
      </w:r>
      <w:r w:rsidR="00572473">
        <w:t xml:space="preserve">lymphocytaire ou une hémorragie </w:t>
      </w:r>
      <w:r w:rsidR="00572473" w:rsidRPr="00572473">
        <w:t xml:space="preserve">alvéolaire sont également des événements </w:t>
      </w:r>
      <w:r w:rsidR="00572473">
        <w:t>fréquents</w:t>
      </w:r>
    </w:p>
    <w:p w:rsidR="00572473" w:rsidRPr="00BB7D4D" w:rsidRDefault="00572473" w:rsidP="004200AC">
      <w:pPr>
        <w:pStyle w:val="Sansinterligne"/>
        <w:rPr>
          <w:rFonts w:ascii="Arial-BoldMT" w:hAnsi="Arial-BoldMT" w:cs="Arial-BoldMT"/>
          <w:color w:val="008100"/>
          <w:sz w:val="20"/>
          <w:szCs w:val="20"/>
        </w:rPr>
      </w:pPr>
    </w:p>
    <w:p w:rsidR="00EB26CF" w:rsidRPr="003A65AF" w:rsidRDefault="00EB26CF" w:rsidP="004200AC">
      <w:pPr>
        <w:pStyle w:val="Sansinterligne"/>
        <w:rPr>
          <w:rFonts w:cs="Arial-BoldMT"/>
          <w:b/>
          <w:bCs/>
          <w:color w:val="0070C0"/>
          <w:sz w:val="24"/>
          <w:szCs w:val="24"/>
        </w:rPr>
      </w:pPr>
      <w:r w:rsidRPr="003A65AF">
        <w:rPr>
          <w:rFonts w:cs="Arial-BoldMT"/>
          <w:b/>
          <w:bCs/>
          <w:color w:val="0070C0"/>
          <w:sz w:val="24"/>
          <w:szCs w:val="24"/>
        </w:rPr>
        <w:t>2. Epidémiologie</w:t>
      </w:r>
    </w:p>
    <w:p w:rsidR="00D34E21" w:rsidRPr="00172252" w:rsidRDefault="00D34E21" w:rsidP="004200AC">
      <w:pPr>
        <w:pStyle w:val="Sansinterligne"/>
        <w:rPr>
          <w:rFonts w:cs="Arial-BoldMT"/>
          <w:color w:val="4F81BD" w:themeColor="accent1"/>
          <w:sz w:val="24"/>
          <w:szCs w:val="24"/>
        </w:rPr>
      </w:pPr>
    </w:p>
    <w:p w:rsidR="00172252" w:rsidRPr="00172252" w:rsidRDefault="00EB26CF" w:rsidP="00172252">
      <w:pPr>
        <w:pStyle w:val="Sansinterligne"/>
      </w:pPr>
      <w:r w:rsidRPr="00172252">
        <w:t xml:space="preserve">Les leptospiroses sont dues à des bactéries pathogènes du genre </w:t>
      </w:r>
      <w:proofErr w:type="spellStart"/>
      <w:proofErr w:type="gramStart"/>
      <w:r w:rsidRPr="00172252">
        <w:rPr>
          <w:rFonts w:cs="Arial-ItalicMT"/>
          <w:i/>
          <w:iCs/>
        </w:rPr>
        <w:t>Leptospira</w:t>
      </w:r>
      <w:proofErr w:type="spellEnd"/>
      <w:r w:rsidRPr="00172252">
        <w:rPr>
          <w:rFonts w:cs="Arial-ItalicMT"/>
          <w:i/>
          <w:iCs/>
        </w:rPr>
        <w:t xml:space="preserve"> </w:t>
      </w:r>
      <w:r w:rsidR="00172252">
        <w:t>.</w:t>
      </w:r>
      <w:proofErr w:type="gramEnd"/>
    </w:p>
    <w:p w:rsidR="00172252" w:rsidRDefault="00EB26CF" w:rsidP="004200AC">
      <w:pPr>
        <w:pStyle w:val="Sansinterligne"/>
      </w:pPr>
      <w:r w:rsidRPr="00172252">
        <w:rPr>
          <w:rFonts w:cs="Arial-ItalicMT"/>
          <w:i/>
          <w:iCs/>
        </w:rPr>
        <w:t xml:space="preserve"> </w:t>
      </w:r>
      <w:r w:rsidRPr="00172252">
        <w:t xml:space="preserve">On distingue deux groupes de leptospires : </w:t>
      </w:r>
      <w:r w:rsidRPr="00172252">
        <w:rPr>
          <w:rFonts w:cs="Arial-ItalicMT"/>
          <w:i/>
          <w:iCs/>
        </w:rPr>
        <w:t xml:space="preserve">L. </w:t>
      </w:r>
      <w:proofErr w:type="spellStart"/>
      <w:r w:rsidRPr="00172252">
        <w:rPr>
          <w:rFonts w:cs="Arial-ItalicMT"/>
          <w:i/>
          <w:iCs/>
        </w:rPr>
        <w:t>interrogans</w:t>
      </w:r>
      <w:proofErr w:type="spellEnd"/>
      <w:r w:rsidRPr="00172252">
        <w:t xml:space="preserve">, pathogène et </w:t>
      </w:r>
      <w:proofErr w:type="spellStart"/>
      <w:proofErr w:type="gramStart"/>
      <w:r w:rsidRPr="00172252">
        <w:rPr>
          <w:rFonts w:cs="Arial-ItalicMT"/>
          <w:i/>
          <w:iCs/>
        </w:rPr>
        <w:t>L.biflexa</w:t>
      </w:r>
      <w:proofErr w:type="spellEnd"/>
      <w:proofErr w:type="gramEnd"/>
      <w:r w:rsidRPr="00172252">
        <w:t xml:space="preserve">, saprophyte. </w:t>
      </w:r>
    </w:p>
    <w:p w:rsidR="00172252" w:rsidRDefault="00EB26CF" w:rsidP="004200AC">
      <w:pPr>
        <w:pStyle w:val="Sansinterligne"/>
      </w:pPr>
      <w:r w:rsidRPr="00172252">
        <w:t xml:space="preserve">Les leptospires sont classés en </w:t>
      </w:r>
      <w:proofErr w:type="spellStart"/>
      <w:r w:rsidRPr="00172252">
        <w:t>sérovars</w:t>
      </w:r>
      <w:proofErr w:type="spellEnd"/>
      <w:r w:rsidRPr="00172252">
        <w:t xml:space="preserve"> et en </w:t>
      </w:r>
      <w:proofErr w:type="spellStart"/>
      <w:proofErr w:type="gramStart"/>
      <w:r w:rsidR="0002468C" w:rsidRPr="00172252">
        <w:t>sérogroupes</w:t>
      </w:r>
      <w:proofErr w:type="spellEnd"/>
      <w:r w:rsidR="0002468C" w:rsidRPr="00172252">
        <w:t xml:space="preserve"> </w:t>
      </w:r>
      <w:r w:rsidRPr="00172252">
        <w:t>.</w:t>
      </w:r>
      <w:proofErr w:type="gramEnd"/>
    </w:p>
    <w:p w:rsidR="00616F71" w:rsidRPr="00172252" w:rsidRDefault="00EB26CF" w:rsidP="004200AC">
      <w:pPr>
        <w:pStyle w:val="Sansinterligne"/>
        <w:rPr>
          <w:rFonts w:cs="Arial-ItalicMT"/>
          <w:i/>
          <w:iCs/>
        </w:rPr>
      </w:pPr>
      <w:r w:rsidRPr="00172252">
        <w:t xml:space="preserve"> Parmi les </w:t>
      </w:r>
      <w:proofErr w:type="spellStart"/>
      <w:r w:rsidRPr="00172252">
        <w:t>sérogroupes</w:t>
      </w:r>
      <w:proofErr w:type="spellEnd"/>
      <w:r w:rsidRPr="00172252">
        <w:t xml:space="preserve"> pathogènes, on retient : </w:t>
      </w:r>
      <w:r w:rsidRPr="00172252">
        <w:rPr>
          <w:rFonts w:cs="Arial-ItalicMT"/>
          <w:i/>
          <w:iCs/>
        </w:rPr>
        <w:t xml:space="preserve">L. australis, L. </w:t>
      </w:r>
      <w:proofErr w:type="spellStart"/>
      <w:r w:rsidRPr="00172252">
        <w:rPr>
          <w:rFonts w:cs="Arial-ItalicMT"/>
          <w:i/>
          <w:iCs/>
        </w:rPr>
        <w:t>grippotyphosa</w:t>
      </w:r>
      <w:proofErr w:type="spellEnd"/>
      <w:r w:rsidRPr="00172252">
        <w:rPr>
          <w:rFonts w:cs="Arial-ItalicMT"/>
          <w:i/>
          <w:iCs/>
        </w:rPr>
        <w:t xml:space="preserve">, </w:t>
      </w:r>
      <w:r w:rsidRPr="00172252">
        <w:rPr>
          <w:rFonts w:cs="Arial-ItalicMT"/>
          <w:b/>
          <w:bCs/>
          <w:i/>
          <w:iCs/>
        </w:rPr>
        <w:t xml:space="preserve">L. </w:t>
      </w:r>
      <w:proofErr w:type="spellStart"/>
      <w:r w:rsidRPr="00172252">
        <w:rPr>
          <w:rFonts w:cs="Arial-ItalicMT"/>
          <w:b/>
          <w:bCs/>
          <w:i/>
          <w:iCs/>
        </w:rPr>
        <w:t>ictérohémorrhagiae</w:t>
      </w:r>
      <w:proofErr w:type="spellEnd"/>
      <w:r w:rsidRPr="00172252">
        <w:rPr>
          <w:rFonts w:cs="Arial-ItalicMT"/>
          <w:i/>
          <w:iCs/>
        </w:rPr>
        <w:t xml:space="preserve">, </w:t>
      </w:r>
      <w:proofErr w:type="spellStart"/>
      <w:proofErr w:type="gramStart"/>
      <w:r w:rsidRPr="00172252">
        <w:rPr>
          <w:rFonts w:cs="Arial-ItalicMT"/>
          <w:i/>
          <w:iCs/>
        </w:rPr>
        <w:t>L.panama</w:t>
      </w:r>
      <w:proofErr w:type="spellEnd"/>
      <w:proofErr w:type="gramEnd"/>
      <w:r w:rsidRPr="00172252">
        <w:rPr>
          <w:rFonts w:cs="Arial-ItalicMT"/>
          <w:i/>
          <w:iCs/>
        </w:rPr>
        <w:t xml:space="preserve">, L. </w:t>
      </w:r>
      <w:proofErr w:type="spellStart"/>
      <w:r w:rsidRPr="00172252">
        <w:rPr>
          <w:rFonts w:cs="Arial-ItalicMT"/>
          <w:i/>
          <w:iCs/>
        </w:rPr>
        <w:t>po</w:t>
      </w:r>
      <w:r w:rsidR="00616F71" w:rsidRPr="00172252">
        <w:rPr>
          <w:rFonts w:cs="Arial-ItalicMT"/>
          <w:i/>
          <w:iCs/>
        </w:rPr>
        <w:t>mona</w:t>
      </w:r>
      <w:proofErr w:type="spellEnd"/>
      <w:r w:rsidR="00616F71" w:rsidRPr="00172252">
        <w:rPr>
          <w:rFonts w:cs="Arial-ItalicMT"/>
          <w:i/>
          <w:iCs/>
        </w:rPr>
        <w:t xml:space="preserve">, L. </w:t>
      </w:r>
      <w:proofErr w:type="spellStart"/>
      <w:r w:rsidR="00616F71" w:rsidRPr="00172252">
        <w:rPr>
          <w:rFonts w:cs="Arial-ItalicMT"/>
          <w:i/>
          <w:iCs/>
        </w:rPr>
        <w:t>pyrogenes</w:t>
      </w:r>
      <w:proofErr w:type="spellEnd"/>
      <w:r w:rsidR="00616F71" w:rsidRPr="00172252">
        <w:t xml:space="preserve"> </w:t>
      </w:r>
    </w:p>
    <w:p w:rsidR="00616F71" w:rsidRPr="00172252" w:rsidRDefault="00616F71" w:rsidP="004200AC">
      <w:pPr>
        <w:pStyle w:val="Sansinterligne"/>
      </w:pPr>
      <w:r w:rsidRPr="00172252">
        <w:t>Les leptospires son</w:t>
      </w:r>
      <w:r w:rsidR="0002468C" w:rsidRPr="00172252">
        <w:t xml:space="preserve">t des </w:t>
      </w:r>
      <w:proofErr w:type="gramStart"/>
      <w:r w:rsidR="0002468C" w:rsidRPr="00172252">
        <w:t xml:space="preserve">bactéries </w:t>
      </w:r>
      <w:r w:rsidRPr="00172252">
        <w:t xml:space="preserve"> gram</w:t>
      </w:r>
      <w:proofErr w:type="gramEnd"/>
      <w:r w:rsidRPr="00172252">
        <w:t xml:space="preserve"> négatif, mobiles, très allongées, hélicoïdales.</w:t>
      </w:r>
    </w:p>
    <w:p w:rsidR="004200AC" w:rsidRPr="00172252" w:rsidRDefault="004200AC" w:rsidP="004200AC">
      <w:pPr>
        <w:pStyle w:val="Sansinterligne"/>
      </w:pPr>
    </w:p>
    <w:p w:rsidR="00EB26CF" w:rsidRPr="00172252" w:rsidRDefault="00EB26CF" w:rsidP="004200AC">
      <w:pPr>
        <w:pStyle w:val="Sansinterligne"/>
      </w:pPr>
      <w:r w:rsidRPr="00172252">
        <w:rPr>
          <w:rFonts w:cs="Arial-BoldMT"/>
          <w:b/>
          <w:bCs/>
        </w:rPr>
        <w:t>. Réservoir</w:t>
      </w:r>
      <w:r w:rsidRPr="00172252">
        <w:rPr>
          <w:rFonts w:cs="Arial-BoldMT"/>
          <w:color w:val="008100"/>
        </w:rPr>
        <w:t xml:space="preserve"> </w:t>
      </w:r>
      <w:r w:rsidRPr="00172252">
        <w:rPr>
          <w:color w:val="008100"/>
        </w:rPr>
        <w:t xml:space="preserve">: </w:t>
      </w:r>
      <w:r w:rsidRPr="00172252">
        <w:t>il est animal. Le réservoir primaire est constitué par les rongeurs (rats, souris),</w:t>
      </w:r>
    </w:p>
    <w:p w:rsidR="00EB26CF" w:rsidRPr="00172252" w:rsidRDefault="00EB26CF" w:rsidP="004200AC">
      <w:pPr>
        <w:pStyle w:val="Sansinterligne"/>
      </w:pPr>
      <w:proofErr w:type="gramStart"/>
      <w:r w:rsidRPr="00172252">
        <w:t>réservoirs</w:t>
      </w:r>
      <w:proofErr w:type="gramEnd"/>
      <w:r w:rsidRPr="00172252">
        <w:t xml:space="preserve"> asymptomatiques, mais la plupart des mammifères domestiques et sauvages peuvent être</w:t>
      </w:r>
    </w:p>
    <w:p w:rsidR="00EB26CF" w:rsidRPr="00172252" w:rsidRDefault="00EB26CF" w:rsidP="004200AC">
      <w:pPr>
        <w:pStyle w:val="Sansinterligne"/>
      </w:pPr>
      <w:proofErr w:type="gramStart"/>
      <w:r w:rsidRPr="00172252">
        <w:t>infestés</w:t>
      </w:r>
      <w:proofErr w:type="gramEnd"/>
      <w:r w:rsidRPr="00172252">
        <w:t xml:space="preserve"> (chiens, bovins porcs, moutons, chèvres, chevaux, musaraig</w:t>
      </w:r>
      <w:r w:rsidR="00616F71" w:rsidRPr="00172252">
        <w:t>nes, hérissons, chiroptères</w:t>
      </w:r>
      <w:r w:rsidRPr="00172252">
        <w:t>.</w:t>
      </w:r>
    </w:p>
    <w:p w:rsidR="004200AC" w:rsidRPr="00172252" w:rsidRDefault="004200AC" w:rsidP="004200AC">
      <w:pPr>
        <w:pStyle w:val="Sansinterligne"/>
      </w:pPr>
    </w:p>
    <w:p w:rsidR="00EB26CF" w:rsidRPr="00172252" w:rsidRDefault="00EB26CF" w:rsidP="004200AC">
      <w:pPr>
        <w:pStyle w:val="Sansinterligne"/>
      </w:pPr>
      <w:r w:rsidRPr="00172252">
        <w:rPr>
          <w:rFonts w:cs="Arial-BoldMT"/>
          <w:b/>
          <w:bCs/>
          <w:color w:val="008100"/>
        </w:rPr>
        <w:t xml:space="preserve">. </w:t>
      </w:r>
      <w:r w:rsidRPr="00172252">
        <w:rPr>
          <w:rFonts w:cs="Arial-BoldMT"/>
          <w:b/>
          <w:bCs/>
        </w:rPr>
        <w:t>Sources d’infection</w:t>
      </w:r>
      <w:r w:rsidRPr="00172252">
        <w:rPr>
          <w:rFonts w:cs="Arial-BoldMT"/>
          <w:color w:val="008100"/>
        </w:rPr>
        <w:t xml:space="preserve"> : </w:t>
      </w:r>
      <w:r w:rsidRPr="00172252">
        <w:t>les eaux et les sols souillés par les urines des animaux infestés, les</w:t>
      </w:r>
    </w:p>
    <w:p w:rsidR="00EB26CF" w:rsidRPr="00172252" w:rsidRDefault="00EB26CF" w:rsidP="004200AC">
      <w:pPr>
        <w:pStyle w:val="Sansinterligne"/>
      </w:pPr>
      <w:proofErr w:type="gramStart"/>
      <w:r w:rsidRPr="00172252">
        <w:t>leptospires</w:t>
      </w:r>
      <w:proofErr w:type="gramEnd"/>
      <w:r w:rsidRPr="00172252">
        <w:t xml:space="preserve"> vivent longtemps dans les sols et les eaux douces (égouts, mines).</w:t>
      </w:r>
    </w:p>
    <w:p w:rsidR="004200AC" w:rsidRPr="00172252" w:rsidRDefault="004200AC" w:rsidP="004200AC">
      <w:pPr>
        <w:pStyle w:val="Sansinterligne"/>
      </w:pPr>
    </w:p>
    <w:p w:rsidR="00EB26CF" w:rsidRPr="00172252" w:rsidRDefault="00172252" w:rsidP="004200AC">
      <w:pPr>
        <w:pStyle w:val="Sansinterligne"/>
      </w:pPr>
      <w:r>
        <w:rPr>
          <w:rFonts w:cs="Arial-BoldMT"/>
        </w:rPr>
        <w:t>-</w:t>
      </w:r>
      <w:r w:rsidR="00EB26CF" w:rsidRPr="00172252">
        <w:rPr>
          <w:rFonts w:cs="Arial-BoldMT"/>
        </w:rPr>
        <w:t xml:space="preserve"> </w:t>
      </w:r>
      <w:r w:rsidR="00EB26CF" w:rsidRPr="00172252">
        <w:rPr>
          <w:rFonts w:cs="Arial-BoldMT"/>
          <w:b/>
          <w:bCs/>
        </w:rPr>
        <w:t>Transmission</w:t>
      </w:r>
      <w:r w:rsidR="00EB26CF" w:rsidRPr="00172252">
        <w:rPr>
          <w:rFonts w:cs="Arial-BoldMT"/>
          <w:color w:val="008100"/>
        </w:rPr>
        <w:t xml:space="preserve"> </w:t>
      </w:r>
      <w:r w:rsidR="00EB26CF" w:rsidRPr="00172252">
        <w:t>: la contamination se fait soit directement par exposition à l'urine d'animaux</w:t>
      </w:r>
    </w:p>
    <w:p w:rsidR="00EB26CF" w:rsidRPr="00172252" w:rsidRDefault="00EB26CF" w:rsidP="004200AC">
      <w:pPr>
        <w:pStyle w:val="Sansinterligne"/>
      </w:pPr>
      <w:proofErr w:type="gramStart"/>
      <w:r w:rsidRPr="00172252">
        <w:t>infestés</w:t>
      </w:r>
      <w:proofErr w:type="gramEnd"/>
      <w:r w:rsidRPr="00172252">
        <w:t>, soit indirectement dans l'eau souillée par les urines. Chez l'homme, la contamination est le</w:t>
      </w:r>
    </w:p>
    <w:p w:rsidR="00EB26CF" w:rsidRPr="00172252" w:rsidRDefault="00EB26CF" w:rsidP="004200AC">
      <w:pPr>
        <w:pStyle w:val="Sansinterligne"/>
      </w:pPr>
      <w:proofErr w:type="gramStart"/>
      <w:r w:rsidRPr="00172252">
        <w:t>plus</w:t>
      </w:r>
      <w:proofErr w:type="gramEnd"/>
      <w:r w:rsidRPr="00172252">
        <w:t xml:space="preserve"> souvent indirecte à travers les excoriations cutanées, les muqueuses conjonctivale, pharyngée,</w:t>
      </w:r>
    </w:p>
    <w:p w:rsidR="00616F71" w:rsidRPr="00172252" w:rsidRDefault="00EB26CF" w:rsidP="00616F71">
      <w:pPr>
        <w:rPr>
          <w:rFonts w:cs="Arial-BoldMT"/>
          <w:b/>
          <w:bCs/>
          <w:color w:val="008100"/>
        </w:rPr>
      </w:pPr>
      <w:proofErr w:type="gramStart"/>
      <w:r w:rsidRPr="00172252">
        <w:t>digestive</w:t>
      </w:r>
      <w:proofErr w:type="gramEnd"/>
      <w:r w:rsidRPr="00172252">
        <w:t>, ou par inhalation.</w:t>
      </w:r>
      <w:r w:rsidRPr="00172252">
        <w:rPr>
          <w:rFonts w:cs="Arial-BoldMT"/>
          <w:b/>
          <w:bCs/>
          <w:color w:val="008100"/>
        </w:rPr>
        <w:t xml:space="preserve">. </w:t>
      </w:r>
    </w:p>
    <w:p w:rsidR="00EB26CF" w:rsidRPr="00172252" w:rsidRDefault="00EB26CF" w:rsidP="00325F1E">
      <w:pPr>
        <w:pStyle w:val="Sansinterligne"/>
      </w:pPr>
      <w:r w:rsidRPr="00172252">
        <w:rPr>
          <w:rFonts w:cs="Arial-BoldMT"/>
          <w:b/>
          <w:bCs/>
        </w:rPr>
        <w:t>Facteurs de risque</w:t>
      </w: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rPr>
          <w:rFonts w:cs="Arial-BoldMT"/>
          <w:b/>
          <w:bCs/>
        </w:rPr>
        <w:t xml:space="preserve">: </w:t>
      </w:r>
      <w:r w:rsidRPr="00172252">
        <w:t>les professions exposées : agriculteurs, employés des abattoirs, employés</w:t>
      </w:r>
      <w:r w:rsidR="00616F71" w:rsidRPr="00172252">
        <w:t xml:space="preserve"> </w:t>
      </w:r>
      <w:r w:rsidRPr="00172252">
        <w:t>de voirie, égoutiers, pisciculteurs, jardiniers ; actuellement, les activités de loisirs en eau douce :</w:t>
      </w:r>
    </w:p>
    <w:p w:rsidR="00025A19" w:rsidRPr="00172252" w:rsidRDefault="00EB26CF" w:rsidP="00325F1E">
      <w:pPr>
        <w:pStyle w:val="Sansinterligne"/>
      </w:pPr>
      <w:proofErr w:type="gramStart"/>
      <w:r w:rsidRPr="00172252">
        <w:t>baignades</w:t>
      </w:r>
      <w:proofErr w:type="gramEnd"/>
      <w:r w:rsidRPr="00172252">
        <w:t xml:space="preserve"> (rivières, étangs), sports nautiques (</w:t>
      </w:r>
      <w:r w:rsidR="00616F71" w:rsidRPr="00172252">
        <w:t xml:space="preserve"> rafting</w:t>
      </w:r>
      <w:r w:rsidRPr="00172252">
        <w:t>, pêche</w:t>
      </w:r>
      <w:r w:rsidR="00616F71" w:rsidRPr="00172252">
        <w:t>..</w:t>
      </w:r>
      <w:r w:rsidRPr="00172252">
        <w:t>).</w:t>
      </w:r>
    </w:p>
    <w:p w:rsidR="00325F1E" w:rsidRPr="00172252" w:rsidRDefault="00325F1E" w:rsidP="00325F1E">
      <w:pPr>
        <w:pStyle w:val="Sansinterligne"/>
      </w:pPr>
    </w:p>
    <w:p w:rsidR="00025A19" w:rsidRPr="003A65AF" w:rsidRDefault="00325F1E" w:rsidP="00325F1E">
      <w:pPr>
        <w:pStyle w:val="Sansinterligne"/>
        <w:rPr>
          <w:b/>
          <w:bCs/>
          <w:color w:val="0070C0"/>
        </w:rPr>
      </w:pPr>
      <w:r w:rsidRPr="003A65AF">
        <w:rPr>
          <w:b/>
          <w:bCs/>
          <w:color w:val="0070C0"/>
          <w:sz w:val="28"/>
          <w:szCs w:val="28"/>
          <w:u w:val="single"/>
        </w:rPr>
        <w:t>3.</w:t>
      </w:r>
      <w:r w:rsidR="00025A19" w:rsidRPr="003A65AF">
        <w:rPr>
          <w:b/>
          <w:bCs/>
          <w:color w:val="0070C0"/>
          <w:sz w:val="28"/>
          <w:szCs w:val="28"/>
          <w:u w:val="single"/>
        </w:rPr>
        <w:t>Pathogénie</w:t>
      </w:r>
      <w:r w:rsidR="00025A19" w:rsidRPr="003A65AF">
        <w:rPr>
          <w:b/>
          <w:bCs/>
          <w:color w:val="0070C0"/>
          <w:sz w:val="28"/>
          <w:szCs w:val="28"/>
        </w:rPr>
        <w:t xml:space="preserve"> </w:t>
      </w:r>
    </w:p>
    <w:p w:rsidR="00025A19" w:rsidRPr="00172252" w:rsidRDefault="00025A19" w:rsidP="00325F1E">
      <w:pPr>
        <w:pStyle w:val="Sansinterligne"/>
      </w:pPr>
      <w:r w:rsidRPr="00172252">
        <w:t xml:space="preserve">Après pénétration </w:t>
      </w:r>
      <w:proofErr w:type="spellStart"/>
      <w:r w:rsidRPr="00172252">
        <w:rPr>
          <w:b/>
          <w:bCs/>
        </w:rPr>
        <w:t>cutanéo-muqueuse</w:t>
      </w:r>
      <w:proofErr w:type="spellEnd"/>
      <w:r w:rsidRPr="00172252">
        <w:t xml:space="preserve">, les </w:t>
      </w:r>
      <w:proofErr w:type="gramStart"/>
      <w:r w:rsidRPr="00172252">
        <w:t>leptospires  passent</w:t>
      </w:r>
      <w:proofErr w:type="gramEnd"/>
      <w:r w:rsidRPr="00172252">
        <w:t xml:space="preserve"> dans le </w:t>
      </w:r>
      <w:r w:rsidRPr="00172252">
        <w:rPr>
          <w:b/>
          <w:bCs/>
        </w:rPr>
        <w:t xml:space="preserve">sang </w:t>
      </w:r>
      <w:r w:rsidRPr="00172252">
        <w:t xml:space="preserve">et disséminent à tous les </w:t>
      </w:r>
      <w:proofErr w:type="spellStart"/>
      <w:r w:rsidRPr="00172252">
        <w:rPr>
          <w:b/>
          <w:bCs/>
        </w:rPr>
        <w:t>organes</w:t>
      </w:r>
      <w:r w:rsidRPr="00172252">
        <w:t>,en</w:t>
      </w:r>
      <w:proofErr w:type="spellEnd"/>
      <w:r w:rsidRPr="00172252">
        <w:t xml:space="preserve"> particuliers les méninges.</w:t>
      </w:r>
    </w:p>
    <w:p w:rsidR="00025A19" w:rsidRPr="00172252" w:rsidRDefault="00025A19" w:rsidP="00325F1E">
      <w:pPr>
        <w:pStyle w:val="Sansinterligne"/>
      </w:pPr>
      <w:r w:rsidRPr="00172252">
        <w:t xml:space="preserve"> Au 7ème jour, elles se fixent au niveau des viscères (</w:t>
      </w:r>
      <w:r w:rsidRPr="00172252">
        <w:rPr>
          <w:b/>
          <w:bCs/>
        </w:rPr>
        <w:t>rein</w:t>
      </w:r>
      <w:r w:rsidRPr="00172252">
        <w:t xml:space="preserve"> et </w:t>
      </w:r>
      <w:r w:rsidRPr="00172252">
        <w:rPr>
          <w:b/>
          <w:bCs/>
        </w:rPr>
        <w:t>foie</w:t>
      </w:r>
      <w:r w:rsidRPr="00172252">
        <w:t>).</w:t>
      </w:r>
    </w:p>
    <w:p w:rsidR="00616F71" w:rsidRDefault="00025A19" w:rsidP="00325F1E">
      <w:pPr>
        <w:pStyle w:val="Sansinterligne"/>
      </w:pPr>
      <w:r w:rsidRPr="00172252">
        <w:t xml:space="preserve"> L ’élimination </w:t>
      </w:r>
      <w:r w:rsidRPr="00172252">
        <w:rPr>
          <w:b/>
          <w:bCs/>
        </w:rPr>
        <w:t>urinaire</w:t>
      </w:r>
      <w:r w:rsidRPr="00172252">
        <w:t xml:space="preserve"> débute au 12ème </w:t>
      </w:r>
      <w:proofErr w:type="gramStart"/>
      <w:r w:rsidRPr="00172252">
        <w:t>jour</w:t>
      </w:r>
      <w:r w:rsidR="00EB26CF" w:rsidRPr="00172252">
        <w:t xml:space="preserve"> </w:t>
      </w:r>
      <w:r w:rsidR="003A65AF">
        <w:t>.</w:t>
      </w:r>
      <w:proofErr w:type="gramEnd"/>
    </w:p>
    <w:p w:rsidR="003A65AF" w:rsidRPr="00172252" w:rsidRDefault="003A65AF" w:rsidP="00325F1E">
      <w:pPr>
        <w:pStyle w:val="Sansinterligne"/>
      </w:pPr>
    </w:p>
    <w:p w:rsidR="00EB26CF" w:rsidRPr="003A65AF" w:rsidRDefault="00EB26CF" w:rsidP="00572473">
      <w:pPr>
        <w:rPr>
          <w:rFonts w:cs="Arial-BoldMT"/>
          <w:b/>
          <w:bCs/>
          <w:color w:val="0070C0"/>
          <w:sz w:val="28"/>
          <w:szCs w:val="26"/>
          <w:u w:val="single"/>
        </w:rPr>
      </w:pPr>
      <w:r w:rsidRPr="003A65AF">
        <w:rPr>
          <w:rFonts w:cs="Arial-BoldMT"/>
          <w:b/>
          <w:bCs/>
          <w:color w:val="0070C0"/>
          <w:sz w:val="28"/>
          <w:szCs w:val="26"/>
          <w:u w:val="single"/>
        </w:rPr>
        <w:t>4. Clinique</w:t>
      </w:r>
    </w:p>
    <w:p w:rsidR="00EB26CF" w:rsidRPr="00172252" w:rsidRDefault="00EB26CF" w:rsidP="00325F1E">
      <w:pPr>
        <w:pStyle w:val="Sansinterligne"/>
      </w:pPr>
      <w:r w:rsidRPr="00172252">
        <w:t>Les leptospiroses sont responsables de manifestations extrêmement variées allant d'un syndrome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pseudo</w:t>
      </w:r>
      <w:proofErr w:type="gramEnd"/>
      <w:r w:rsidRPr="00172252">
        <w:t xml:space="preserve"> grippal bénin à une atteinte </w:t>
      </w:r>
      <w:proofErr w:type="spellStart"/>
      <w:r w:rsidRPr="00172252">
        <w:t>hépato-rénale</w:t>
      </w:r>
      <w:proofErr w:type="spellEnd"/>
      <w:r w:rsidRPr="00172252">
        <w:t xml:space="preserve"> potentiellement létale.</w:t>
      </w:r>
    </w:p>
    <w:p w:rsidR="00EB26CF" w:rsidRPr="00172252" w:rsidRDefault="00EB26CF" w:rsidP="00325F1E">
      <w:pPr>
        <w:pStyle w:val="Sansinterligne"/>
        <w:rPr>
          <w:rFonts w:cs="Arial-BoldMT"/>
          <w:b/>
          <w:bCs/>
          <w:color w:val="008100"/>
        </w:rPr>
      </w:pPr>
      <w:r w:rsidRPr="00172252">
        <w:rPr>
          <w:rFonts w:cs="Arial-BoldMT"/>
          <w:b/>
          <w:bCs/>
          <w:color w:val="000000" w:themeColor="text1"/>
        </w:rPr>
        <w:t xml:space="preserve"> La forme classique : l’ictère fébrile à rechute</w:t>
      </w:r>
      <w:r w:rsidRPr="00172252">
        <w:rPr>
          <w:rFonts w:cs="Arial-BoldMT"/>
          <w:b/>
          <w:bCs/>
          <w:color w:val="008100"/>
        </w:rPr>
        <w:t>.</w:t>
      </w:r>
    </w:p>
    <w:p w:rsidR="004200AC" w:rsidRPr="00172252" w:rsidRDefault="004200AC" w:rsidP="00325F1E">
      <w:pPr>
        <w:pStyle w:val="Sansinterligne"/>
        <w:rPr>
          <w:rFonts w:cs="Arial-BoldMT"/>
          <w:b/>
          <w:bCs/>
          <w:color w:val="008100"/>
        </w:rPr>
      </w:pPr>
    </w:p>
    <w:p w:rsidR="00EB26CF" w:rsidRPr="00172252" w:rsidRDefault="00EB26CF" w:rsidP="00325F1E">
      <w:pPr>
        <w:pStyle w:val="Sansinterligne"/>
      </w:pPr>
      <w:r w:rsidRPr="00172252">
        <w:rPr>
          <w:rFonts w:cs="Arial-BoldMT"/>
          <w:b/>
          <w:bCs/>
          <w:color w:val="000000" w:themeColor="text1"/>
        </w:rPr>
        <w:t xml:space="preserve"> Incubation</w:t>
      </w: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t>silencieuse d'environ 10 jours (extrêmes : 5 à 21 jours)</w:t>
      </w:r>
    </w:p>
    <w:p w:rsidR="004200AC" w:rsidRPr="00172252" w:rsidRDefault="004200AC" w:rsidP="00325F1E">
      <w:pPr>
        <w:pStyle w:val="Sansinterligne"/>
      </w:pPr>
    </w:p>
    <w:p w:rsidR="00EB26CF" w:rsidRPr="00172252" w:rsidRDefault="00EB26CF" w:rsidP="00325F1E">
      <w:pPr>
        <w:pStyle w:val="Sansinterligne"/>
        <w:rPr>
          <w:rFonts w:cs="Arial-BoldMT"/>
          <w:b/>
          <w:bCs/>
          <w:color w:val="008100"/>
        </w:rPr>
      </w:pPr>
      <w:r w:rsidRPr="00172252">
        <w:rPr>
          <w:rFonts w:cs="Arial-BoldMT"/>
          <w:b/>
          <w:bCs/>
          <w:color w:val="000000" w:themeColor="text1"/>
        </w:rPr>
        <w:t>Phase</w:t>
      </w:r>
      <w:r w:rsidR="004200AC" w:rsidRPr="00172252">
        <w:rPr>
          <w:rFonts w:cs="Arial-BoldMT"/>
          <w:b/>
          <w:bCs/>
          <w:color w:val="000000" w:themeColor="text1"/>
        </w:rPr>
        <w:t xml:space="preserve"> de </w:t>
      </w:r>
      <w:proofErr w:type="spellStart"/>
      <w:proofErr w:type="gramStart"/>
      <w:r w:rsidR="004200AC" w:rsidRPr="00172252">
        <w:rPr>
          <w:rFonts w:cs="Arial-BoldMT"/>
          <w:b/>
          <w:bCs/>
          <w:color w:val="000000" w:themeColor="text1"/>
        </w:rPr>
        <w:t>debut</w:t>
      </w:r>
      <w:proofErr w:type="spellEnd"/>
      <w:r w:rsidR="004200AC" w:rsidRPr="00172252">
        <w:rPr>
          <w:rFonts w:cs="Arial-BoldMT"/>
          <w:b/>
          <w:bCs/>
          <w:color w:val="000000" w:themeColor="text1"/>
        </w:rPr>
        <w:t xml:space="preserve"> </w:t>
      </w:r>
      <w:r w:rsidRPr="00172252">
        <w:rPr>
          <w:rFonts w:cs="Arial-BoldMT"/>
          <w:b/>
          <w:bCs/>
          <w:color w:val="000000" w:themeColor="text1"/>
        </w:rPr>
        <w:t xml:space="preserve"> pré</w:t>
      </w:r>
      <w:proofErr w:type="gramEnd"/>
      <w:r w:rsidRPr="00172252">
        <w:rPr>
          <w:rFonts w:cs="Arial-BoldMT"/>
          <w:b/>
          <w:bCs/>
          <w:color w:val="000000" w:themeColor="text1"/>
        </w:rPr>
        <w:t xml:space="preserve"> ictérique : </w:t>
      </w:r>
      <w:r w:rsidRPr="00172252">
        <w:rPr>
          <w:rFonts w:cs="Arial-BoldMT"/>
          <w:color w:val="000000" w:themeColor="text1"/>
        </w:rPr>
        <w:t xml:space="preserve">c’est la période d’invasion ou </w:t>
      </w:r>
      <w:proofErr w:type="spellStart"/>
      <w:r w:rsidRPr="003A65AF">
        <w:rPr>
          <w:rFonts w:cs="Arial-BoldMT"/>
          <w:b/>
          <w:bCs/>
          <w:color w:val="000000" w:themeColor="text1"/>
        </w:rPr>
        <w:t>leptospirémique</w:t>
      </w:r>
      <w:proofErr w:type="spellEnd"/>
    </w:p>
    <w:p w:rsidR="003A65AF" w:rsidRDefault="003A65AF" w:rsidP="00325F1E">
      <w:pPr>
        <w:pStyle w:val="Sansinterligne"/>
      </w:pPr>
      <w:r>
        <w:t>-</w:t>
      </w:r>
      <w:r w:rsidR="00EB26CF" w:rsidRPr="00172252">
        <w:t>De début brutal, elle dure de 3 à 5 jours avec présence de leptospires dans le sang et le LCR.</w:t>
      </w:r>
    </w:p>
    <w:p w:rsidR="003A65AF" w:rsidRDefault="003A65AF" w:rsidP="003A65AF">
      <w:pPr>
        <w:pStyle w:val="Sansinterligne"/>
      </w:pPr>
      <w:r>
        <w:t>-</w:t>
      </w:r>
      <w:r w:rsidR="00EB26CF" w:rsidRPr="00172252">
        <w:t xml:space="preserve"> Elle est</w:t>
      </w:r>
      <w:r>
        <w:t xml:space="preserve"> </w:t>
      </w:r>
      <w:r w:rsidR="00EB26CF" w:rsidRPr="00172252">
        <w:t>caractérisée par une fièvre élevée d'apparition brutale à 39°C et plus, des frissons, des céphalées,</w:t>
      </w:r>
      <w:r>
        <w:t xml:space="preserve"> </w:t>
      </w:r>
      <w:r w:rsidR="00EB26CF" w:rsidRPr="00172252">
        <w:t xml:space="preserve">des myalgies (mollets, cuisses), des arthralgies, une asthénie. </w:t>
      </w:r>
    </w:p>
    <w:p w:rsidR="00EB26CF" w:rsidRPr="00172252" w:rsidRDefault="003A65AF" w:rsidP="003A65AF">
      <w:pPr>
        <w:pStyle w:val="Sansinterligne"/>
      </w:pPr>
      <w:r>
        <w:t>-</w:t>
      </w:r>
      <w:r w:rsidR="00EB26CF" w:rsidRPr="00172252">
        <w:t xml:space="preserve"> Une suffusion conjonctivale bilatérale, une hémorragie conjonctivale au 3</w:t>
      </w:r>
      <w:r w:rsidR="00EB26CF" w:rsidRPr="00172252">
        <w:rPr>
          <w:sz w:val="13"/>
          <w:szCs w:val="13"/>
        </w:rPr>
        <w:t xml:space="preserve">e </w:t>
      </w:r>
      <w:r w:rsidR="00EB26CF" w:rsidRPr="00172252">
        <w:t>4</w:t>
      </w:r>
      <w:r w:rsidR="00EB26CF" w:rsidRPr="00172252">
        <w:rPr>
          <w:sz w:val="13"/>
          <w:szCs w:val="13"/>
        </w:rPr>
        <w:t xml:space="preserve">e </w:t>
      </w:r>
      <w:r w:rsidR="00EB26CF" w:rsidRPr="00172252">
        <w:t>jour,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un</w:t>
      </w:r>
      <w:proofErr w:type="gramEnd"/>
      <w:r w:rsidRPr="00172252">
        <w:t xml:space="preserve"> herpès, une éruption maculaire, </w:t>
      </w:r>
      <w:proofErr w:type="spellStart"/>
      <w:r w:rsidRPr="00172252">
        <w:t>maculo</w:t>
      </w:r>
      <w:proofErr w:type="spellEnd"/>
      <w:r w:rsidRPr="00172252">
        <w:t>-papuleuse ou pétéchiale fugace au niveau du tronc ou en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position</w:t>
      </w:r>
      <w:proofErr w:type="gramEnd"/>
      <w:r w:rsidRPr="00172252">
        <w:t xml:space="preserve"> pré tibiale, un syndrome méningé</w:t>
      </w:r>
      <w:r w:rsidR="003A65AF">
        <w:t xml:space="preserve"> discret d</w:t>
      </w:r>
      <w:r w:rsidRPr="00172252">
        <w:t>, une oligurie avec protéinurie attirent l’attention.</w:t>
      </w:r>
    </w:p>
    <w:p w:rsidR="004200AC" w:rsidRPr="00172252" w:rsidRDefault="004200AC" w:rsidP="00325F1E">
      <w:pPr>
        <w:pStyle w:val="Sansinterligne"/>
      </w:pPr>
    </w:p>
    <w:p w:rsidR="00EB26CF" w:rsidRPr="00172252" w:rsidRDefault="00EB26CF" w:rsidP="00325F1E">
      <w:pPr>
        <w:pStyle w:val="Sansinterligne"/>
        <w:rPr>
          <w:rFonts w:cs="Arial-BoldMT"/>
          <w:b/>
          <w:bCs/>
          <w:color w:val="000000" w:themeColor="text1"/>
        </w:rPr>
      </w:pP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rPr>
          <w:rFonts w:cs="Arial-BoldMT"/>
          <w:b/>
          <w:bCs/>
          <w:color w:val="000000" w:themeColor="text1"/>
        </w:rPr>
        <w:t>Phase ictérique : c</w:t>
      </w:r>
      <w:r w:rsidR="00025A19" w:rsidRPr="00172252">
        <w:rPr>
          <w:rFonts w:cs="Arial-BoldMT"/>
          <w:b/>
          <w:bCs/>
          <w:color w:val="000000" w:themeColor="text1"/>
        </w:rPr>
        <w:t xml:space="preserve">’est la période d’état </w:t>
      </w:r>
    </w:p>
    <w:p w:rsidR="00EB26CF" w:rsidRPr="00172252" w:rsidRDefault="00EB26CF" w:rsidP="00325F1E">
      <w:pPr>
        <w:pStyle w:val="Sansinterligne"/>
      </w:pPr>
      <w:r w:rsidRPr="00172252">
        <w:t xml:space="preserve">Elle est corrélée à l’apparition des </w:t>
      </w:r>
      <w:proofErr w:type="spellStart"/>
      <w:r w:rsidRPr="00172252">
        <w:t>IgM</w:t>
      </w:r>
      <w:proofErr w:type="spellEnd"/>
      <w:r w:rsidRPr="00172252">
        <w:t xml:space="preserve"> circulants. Le syndrome infectieux persiste, mais s’atténue. Les</w:t>
      </w:r>
      <w:r w:rsidR="00616F71" w:rsidRPr="00172252">
        <w:t xml:space="preserve"> </w:t>
      </w:r>
      <w:r w:rsidRPr="00172252">
        <w:t>manifestations viscérales sont au premier plan, plus ou moins sévères :</w:t>
      </w:r>
    </w:p>
    <w:p w:rsidR="00EB26CF" w:rsidRPr="00172252" w:rsidRDefault="00EB26CF" w:rsidP="00325F1E">
      <w:pPr>
        <w:pStyle w:val="Sansinterligne"/>
      </w:pPr>
      <w:r w:rsidRPr="00172252">
        <w:t>- atteinte hépatique : ictère de colorati</w:t>
      </w:r>
      <w:r w:rsidR="004200AC" w:rsidRPr="00172252">
        <w:t>on orangée, dit flamboyant, au 5</w:t>
      </w:r>
      <w:r w:rsidRPr="00172252">
        <w:rPr>
          <w:sz w:val="13"/>
          <w:szCs w:val="13"/>
        </w:rPr>
        <w:t xml:space="preserve">e </w:t>
      </w:r>
      <w:r w:rsidRPr="00172252">
        <w:t>6</w:t>
      </w:r>
      <w:r w:rsidRPr="00172252">
        <w:rPr>
          <w:sz w:val="13"/>
          <w:szCs w:val="13"/>
        </w:rPr>
        <w:t xml:space="preserve">e </w:t>
      </w:r>
      <w:r w:rsidRPr="00172252">
        <w:t>jour,</w:t>
      </w:r>
    </w:p>
    <w:p w:rsidR="00EB26CF" w:rsidRPr="00172252" w:rsidRDefault="00EB26CF" w:rsidP="00325F1E">
      <w:pPr>
        <w:pStyle w:val="Sansinterligne"/>
      </w:pPr>
      <w:r w:rsidRPr="00172252">
        <w:t>- atteinte rénale : insuffisance rénale aiguë,</w:t>
      </w:r>
    </w:p>
    <w:p w:rsidR="00EB26CF" w:rsidRPr="00172252" w:rsidRDefault="00EB26CF" w:rsidP="00325F1E">
      <w:pPr>
        <w:pStyle w:val="Sansinterligne"/>
      </w:pPr>
      <w:r w:rsidRPr="00172252">
        <w:t xml:space="preserve">- atteinte </w:t>
      </w:r>
      <w:proofErr w:type="spellStart"/>
      <w:r w:rsidRPr="00172252">
        <w:t>neuroméningée</w:t>
      </w:r>
      <w:proofErr w:type="spellEnd"/>
      <w:r w:rsidRPr="00172252">
        <w:t xml:space="preserve"> : méningite lymphocytaire,</w:t>
      </w:r>
    </w:p>
    <w:p w:rsidR="00EB26CF" w:rsidRPr="00172252" w:rsidRDefault="00EB26CF" w:rsidP="00325F1E">
      <w:pPr>
        <w:pStyle w:val="Sansinterligne"/>
      </w:pPr>
      <w:r w:rsidRPr="00172252">
        <w:t>- atteinte pulmonaire : toux, dyspnée, nodules floconneux centimétriques, à limites floues à la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radiographie</w:t>
      </w:r>
      <w:proofErr w:type="gramEnd"/>
      <w:r w:rsidRPr="00172252">
        <w:t>,</w:t>
      </w:r>
    </w:p>
    <w:p w:rsidR="00EB26CF" w:rsidRPr="00172252" w:rsidRDefault="00EB26CF" w:rsidP="00572473">
      <w:r w:rsidRPr="00172252">
        <w:t>- syndrome hémorragique généralement discret : épistaxis, quelques pétéchies.</w:t>
      </w:r>
    </w:p>
    <w:p w:rsidR="00025A19" w:rsidRPr="00172252" w:rsidRDefault="00EB26CF" w:rsidP="00325F1E">
      <w:pPr>
        <w:pStyle w:val="Sansinterligne"/>
      </w:pPr>
      <w:r w:rsidRPr="00172252">
        <w:t>Cette ph</w:t>
      </w:r>
      <w:r w:rsidR="00025A19" w:rsidRPr="00172252">
        <w:t>ase ictérique, qui apparaît au 5</w:t>
      </w:r>
      <w:r w:rsidRPr="00172252">
        <w:rPr>
          <w:sz w:val="13"/>
          <w:szCs w:val="13"/>
        </w:rPr>
        <w:t xml:space="preserve">e </w:t>
      </w:r>
      <w:r w:rsidRPr="00172252">
        <w:t>jour en moyenne, a une durée moyenne de 5 jours.</w:t>
      </w:r>
    </w:p>
    <w:p w:rsidR="004200AC" w:rsidRPr="00172252" w:rsidRDefault="004200AC" w:rsidP="00325F1E">
      <w:pPr>
        <w:pStyle w:val="Sansinterligne"/>
      </w:pPr>
    </w:p>
    <w:p w:rsidR="00025A19" w:rsidRPr="00172252" w:rsidRDefault="004200AC" w:rsidP="00325F1E">
      <w:pPr>
        <w:pStyle w:val="Sansinterligne"/>
      </w:pPr>
      <w:r w:rsidRPr="00172252">
        <w:t>-</w:t>
      </w:r>
      <w:r w:rsidR="00EB26CF" w:rsidRPr="00172252">
        <w:t xml:space="preserve"> Au 10</w:t>
      </w:r>
      <w:r w:rsidR="00EB26CF" w:rsidRPr="00172252">
        <w:rPr>
          <w:sz w:val="13"/>
          <w:szCs w:val="13"/>
        </w:rPr>
        <w:t>e</w:t>
      </w:r>
      <w:r w:rsidR="00EB26CF" w:rsidRPr="00172252">
        <w:t xml:space="preserve">jour débute la phase d’apyrexie ou </w:t>
      </w:r>
      <w:r w:rsidR="00EB26CF" w:rsidRPr="00172252">
        <w:rPr>
          <w:b/>
          <w:bCs/>
        </w:rPr>
        <w:t>phase intermédiaire</w:t>
      </w:r>
      <w:r w:rsidR="00EB26CF" w:rsidRPr="00172252">
        <w:t xml:space="preserve"> : chute de la température en </w:t>
      </w:r>
      <w:proofErr w:type="spellStart"/>
      <w:r w:rsidR="00EB26CF" w:rsidRPr="00172252">
        <w:t>lysis</w:t>
      </w:r>
      <w:proofErr w:type="spellEnd"/>
      <w:r w:rsidR="00EB26CF" w:rsidRPr="00172252">
        <w:t>, régression</w:t>
      </w:r>
      <w:r w:rsidR="00025A19" w:rsidRPr="00172252">
        <w:rPr>
          <w:sz w:val="13"/>
          <w:szCs w:val="13"/>
        </w:rPr>
        <w:t xml:space="preserve"> </w:t>
      </w:r>
      <w:r w:rsidR="00EB26CF" w:rsidRPr="00172252">
        <w:t>de l’ictère et des signes neurologiques.</w:t>
      </w:r>
    </w:p>
    <w:p w:rsidR="00325F1E" w:rsidRPr="00172252" w:rsidRDefault="004200AC" w:rsidP="00325F1E">
      <w:pPr>
        <w:pStyle w:val="Sansinterligne"/>
      </w:pPr>
      <w:r w:rsidRPr="00172252">
        <w:t xml:space="preserve"> </w:t>
      </w:r>
      <w:r w:rsidR="00EB26CF" w:rsidRPr="00172252">
        <w:t xml:space="preserve"> </w:t>
      </w:r>
      <w:proofErr w:type="gramStart"/>
      <w:r w:rsidR="00EB26CF" w:rsidRPr="00172252">
        <w:t>au</w:t>
      </w:r>
      <w:proofErr w:type="gramEnd"/>
      <w:r w:rsidR="00EB26CF" w:rsidRPr="00172252">
        <w:t xml:space="preserve"> 15</w:t>
      </w:r>
      <w:r w:rsidR="00EB26CF" w:rsidRPr="00172252">
        <w:rPr>
          <w:sz w:val="13"/>
          <w:szCs w:val="13"/>
        </w:rPr>
        <w:t xml:space="preserve">e </w:t>
      </w:r>
      <w:r w:rsidR="00EB26CF" w:rsidRPr="00172252">
        <w:t xml:space="preserve">jour </w:t>
      </w:r>
      <w:r w:rsidR="00EB26CF" w:rsidRPr="00172252">
        <w:rPr>
          <w:b/>
          <w:bCs/>
        </w:rPr>
        <w:t>la recrudescence fébrile</w:t>
      </w:r>
      <w:r w:rsidR="00EB26CF" w:rsidRPr="00172252">
        <w:t>,</w:t>
      </w:r>
    </w:p>
    <w:p w:rsidR="004200AC" w:rsidRPr="00172252" w:rsidRDefault="00EB26CF" w:rsidP="00325F1E">
      <w:pPr>
        <w:pStyle w:val="Sansinterligne"/>
      </w:pPr>
      <w:r w:rsidRPr="00172252">
        <w:t xml:space="preserve"> </w:t>
      </w:r>
      <w:proofErr w:type="gramStart"/>
      <w:r w:rsidRPr="00172252">
        <w:t>puis</w:t>
      </w:r>
      <w:proofErr w:type="gramEnd"/>
      <w:r w:rsidRPr="00172252">
        <w:t xml:space="preserve"> </w:t>
      </w:r>
      <w:r w:rsidRPr="00172252">
        <w:rPr>
          <w:b/>
          <w:bCs/>
        </w:rPr>
        <w:t>la chute de la</w:t>
      </w:r>
      <w:r w:rsidR="00325F1E" w:rsidRPr="00172252">
        <w:rPr>
          <w:b/>
          <w:bCs/>
          <w:sz w:val="13"/>
          <w:szCs w:val="13"/>
        </w:rPr>
        <w:t xml:space="preserve"> </w:t>
      </w:r>
      <w:r w:rsidRPr="00172252">
        <w:rPr>
          <w:b/>
          <w:bCs/>
        </w:rPr>
        <w:t>température au 20</w:t>
      </w:r>
      <w:r w:rsidRPr="00172252">
        <w:rPr>
          <w:b/>
          <w:bCs/>
          <w:sz w:val="13"/>
          <w:szCs w:val="13"/>
        </w:rPr>
        <w:t>e</w:t>
      </w:r>
      <w:r w:rsidRPr="00172252">
        <w:rPr>
          <w:sz w:val="13"/>
          <w:szCs w:val="13"/>
        </w:rPr>
        <w:t xml:space="preserve"> </w:t>
      </w:r>
      <w:r w:rsidRPr="00172252">
        <w:t xml:space="preserve">jour avec une crise urinaire. </w:t>
      </w:r>
    </w:p>
    <w:p w:rsidR="00EB26CF" w:rsidRPr="00172252" w:rsidRDefault="00EB26CF" w:rsidP="004200AC">
      <w:pPr>
        <w:pStyle w:val="Sansinterligne"/>
        <w:rPr>
          <w:sz w:val="13"/>
          <w:szCs w:val="13"/>
        </w:rPr>
      </w:pPr>
      <w:r w:rsidRPr="00172252">
        <w:t>La convalescence est longue, marquée par une</w:t>
      </w:r>
      <w:r w:rsidR="004200AC" w:rsidRPr="00172252">
        <w:rPr>
          <w:sz w:val="13"/>
          <w:szCs w:val="13"/>
        </w:rPr>
        <w:t xml:space="preserve"> </w:t>
      </w:r>
      <w:r w:rsidRPr="00172252">
        <w:t>asthénie prolongée, mais la guérison survient sans séquelles.</w:t>
      </w:r>
    </w:p>
    <w:p w:rsidR="00EB26CF" w:rsidRPr="00172252" w:rsidRDefault="00EB26CF" w:rsidP="00325F1E">
      <w:pPr>
        <w:pStyle w:val="Sansinterligne"/>
      </w:pPr>
      <w:r w:rsidRPr="00172252">
        <w:t>Au total, la maladi</w:t>
      </w:r>
      <w:r w:rsidR="004200AC" w:rsidRPr="00172252">
        <w:t>e évolue classiquement en cinq</w:t>
      </w:r>
      <w:r w:rsidRPr="00172252">
        <w:t xml:space="preserve"> phases d’environ 5 jours chacune.</w:t>
      </w:r>
    </w:p>
    <w:p w:rsidR="004200AC" w:rsidRPr="00172252" w:rsidRDefault="004200AC" w:rsidP="00325F1E">
      <w:pPr>
        <w:pStyle w:val="Sansinterligne"/>
      </w:pPr>
    </w:p>
    <w:p w:rsidR="00EB26CF" w:rsidRPr="00172252" w:rsidRDefault="00EB26CF" w:rsidP="00325F1E">
      <w:pPr>
        <w:pStyle w:val="Sansinterligne"/>
        <w:rPr>
          <w:rFonts w:cs="Arial-BoldMT"/>
          <w:b/>
          <w:bCs/>
          <w:color w:val="008100"/>
        </w:rPr>
      </w:pPr>
      <w:r w:rsidRPr="00172252">
        <w:rPr>
          <w:rFonts w:cs="Arial-BoldMT"/>
          <w:b/>
          <w:bCs/>
          <w:color w:val="000000" w:themeColor="text1"/>
          <w:u w:val="single"/>
        </w:rPr>
        <w:t xml:space="preserve">. Les formes </w:t>
      </w:r>
      <w:proofErr w:type="gramStart"/>
      <w:r w:rsidRPr="00172252">
        <w:rPr>
          <w:rFonts w:cs="Arial-BoldMT"/>
          <w:b/>
          <w:bCs/>
          <w:color w:val="000000" w:themeColor="text1"/>
          <w:u w:val="single"/>
        </w:rPr>
        <w:t>cliniques</w:t>
      </w:r>
      <w:r w:rsidR="00D34E21" w:rsidRPr="00172252">
        <w:rPr>
          <w:rFonts w:cs="Arial-BoldMT"/>
          <w:b/>
          <w:bCs/>
          <w:color w:val="008100"/>
        </w:rPr>
        <w:t xml:space="preserve">  </w:t>
      </w:r>
      <w:r w:rsidRPr="00172252">
        <w:t>A</w:t>
      </w:r>
      <w:proofErr w:type="gramEnd"/>
      <w:r w:rsidRPr="00172252">
        <w:t xml:space="preserve"> partir de ce schéma classique, des formes cliniques sont décrites :</w:t>
      </w:r>
    </w:p>
    <w:p w:rsidR="00EB26CF" w:rsidRPr="00172252" w:rsidRDefault="00EB26CF" w:rsidP="00325F1E">
      <w:pPr>
        <w:pStyle w:val="Sansinterligne"/>
      </w:pPr>
      <w:r w:rsidRPr="00172252">
        <w:rPr>
          <w:rFonts w:cs="Arial-BoldMT"/>
          <w:b/>
          <w:bCs/>
          <w:color w:val="000000" w:themeColor="text1"/>
        </w:rPr>
        <w:t>- formes inapparentes</w:t>
      </w:r>
      <w:r w:rsidRPr="00172252">
        <w:t>, asymptomatiques, mises en évidence au cours des enquêtes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épidémiologiques</w:t>
      </w:r>
      <w:proofErr w:type="gramEnd"/>
      <w:r w:rsidRPr="00172252">
        <w:t>,</w:t>
      </w:r>
    </w:p>
    <w:p w:rsidR="00CA1964" w:rsidRPr="00172252" w:rsidRDefault="00CA1964" w:rsidP="00325F1E">
      <w:pPr>
        <w:pStyle w:val="Sansinterligne"/>
      </w:pPr>
    </w:p>
    <w:p w:rsidR="00EB26CF" w:rsidRPr="00172252" w:rsidRDefault="00EB26CF" w:rsidP="00325F1E">
      <w:pPr>
        <w:pStyle w:val="Sansinterligne"/>
      </w:pPr>
      <w:r w:rsidRPr="00172252">
        <w:rPr>
          <w:rFonts w:cs="Arial-BoldMT"/>
          <w:b/>
          <w:bCs/>
          <w:color w:val="000000" w:themeColor="text1"/>
        </w:rPr>
        <w:t xml:space="preserve">- formes </w:t>
      </w:r>
      <w:proofErr w:type="spellStart"/>
      <w:r w:rsidRPr="00172252">
        <w:rPr>
          <w:rFonts w:cs="Arial-BoldMT"/>
          <w:b/>
          <w:bCs/>
          <w:color w:val="000000" w:themeColor="text1"/>
        </w:rPr>
        <w:t>anictériques</w:t>
      </w:r>
      <w:proofErr w:type="spellEnd"/>
      <w:r w:rsidRPr="00172252">
        <w:rPr>
          <w:rFonts w:cs="Arial-BoldMT"/>
          <w:b/>
          <w:bCs/>
          <w:color w:val="000000" w:themeColor="text1"/>
        </w:rPr>
        <w:t xml:space="preserve"> pseudo-grippales</w:t>
      </w:r>
      <w:r w:rsidRPr="00172252">
        <w:rPr>
          <w:rFonts w:cs="Arial-BoldMT"/>
          <w:b/>
          <w:bCs/>
          <w:color w:val="008100"/>
        </w:rPr>
        <w:t xml:space="preserve">, </w:t>
      </w:r>
      <w:r w:rsidRPr="00172252">
        <w:t>très fréquentes (80% des cas),</w:t>
      </w:r>
    </w:p>
    <w:p w:rsidR="00CA1964" w:rsidRPr="00172252" w:rsidRDefault="00CA1964" w:rsidP="00325F1E">
      <w:pPr>
        <w:pStyle w:val="Sansinterligne"/>
      </w:pPr>
    </w:p>
    <w:p w:rsidR="00EB26CF" w:rsidRPr="00172252" w:rsidRDefault="00EB26CF" w:rsidP="00325F1E">
      <w:pPr>
        <w:pStyle w:val="Sansinterligne"/>
      </w:pPr>
      <w:r w:rsidRPr="00172252">
        <w:rPr>
          <w:rFonts w:cs="Arial-BoldMT"/>
          <w:b/>
          <w:bCs/>
          <w:color w:val="000000" w:themeColor="text1"/>
        </w:rPr>
        <w:t>- formes sévères</w:t>
      </w:r>
      <w:r w:rsidRPr="00172252">
        <w:rPr>
          <w:rFonts w:cs="Arial-BoldMT"/>
          <w:b/>
          <w:bCs/>
          <w:color w:val="008100"/>
        </w:rPr>
        <w:t xml:space="preserve"> : </w:t>
      </w:r>
      <w:r w:rsidRPr="00172252">
        <w:t xml:space="preserve">formes ictériques </w:t>
      </w:r>
      <w:proofErr w:type="spellStart"/>
      <w:r w:rsidRPr="00172252">
        <w:rPr>
          <w:b/>
          <w:bCs/>
        </w:rPr>
        <w:t>multiviscérales</w:t>
      </w:r>
      <w:proofErr w:type="spellEnd"/>
      <w:r w:rsidRPr="00172252">
        <w:t xml:space="preserve"> ou Maladie de Weil (20% des cas) qui mettent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en</w:t>
      </w:r>
      <w:proofErr w:type="gramEnd"/>
      <w:r w:rsidRPr="00172252">
        <w:t xml:space="preserve"> jeu le pronostic vital. Leur fréquence est d’autant plus élevée que le traitement antibiotique est</w:t>
      </w:r>
    </w:p>
    <w:p w:rsidR="00D34E21" w:rsidRPr="00172252" w:rsidRDefault="00EB26CF" w:rsidP="00325F1E">
      <w:pPr>
        <w:pStyle w:val="Sansinterligne"/>
      </w:pPr>
      <w:proofErr w:type="gramStart"/>
      <w:r w:rsidRPr="00172252">
        <w:t>retardé</w:t>
      </w:r>
      <w:proofErr w:type="gramEnd"/>
      <w:r w:rsidRPr="00172252">
        <w:t xml:space="preserve"> et/ou que le malade est porteur d’une tare viscérale, en particulier l’alcoolisme.</w:t>
      </w:r>
    </w:p>
    <w:p w:rsidR="00EB26CF" w:rsidRPr="00172252" w:rsidRDefault="00EB26CF" w:rsidP="00325F1E">
      <w:pPr>
        <w:pStyle w:val="Sansinterligne"/>
      </w:pPr>
      <w:r w:rsidRPr="00172252">
        <w:t xml:space="preserve"> Elles réalisent</w:t>
      </w:r>
      <w:proofErr w:type="gramStart"/>
      <w:r w:rsidRPr="00172252">
        <w:t xml:space="preserve"> :-</w:t>
      </w:r>
      <w:proofErr w:type="gramEnd"/>
      <w:r w:rsidRPr="00172252">
        <w:t xml:space="preserve"> un ictère grave,</w:t>
      </w:r>
    </w:p>
    <w:p w:rsidR="00EB26CF" w:rsidRPr="00172252" w:rsidRDefault="00EB26CF" w:rsidP="00325F1E">
      <w:pPr>
        <w:pStyle w:val="Sansinterligne"/>
      </w:pPr>
      <w:r w:rsidRPr="00172252">
        <w:t xml:space="preserve">- une insuffisance rénale, liée à une néphrite </w:t>
      </w:r>
      <w:proofErr w:type="spellStart"/>
      <w:r w:rsidRPr="00172252">
        <w:t>tubulo</w:t>
      </w:r>
      <w:proofErr w:type="spellEnd"/>
      <w:r w:rsidRPr="00172252">
        <w:t>-interstitielle aigüe non spécifique, aggravée par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une</w:t>
      </w:r>
      <w:proofErr w:type="gramEnd"/>
      <w:r w:rsidRPr="00172252">
        <w:t xml:space="preserve"> rhabdomyolyse,</w:t>
      </w:r>
    </w:p>
    <w:p w:rsidR="00EB26CF" w:rsidRPr="00172252" w:rsidRDefault="00EB26CF" w:rsidP="00325F1E">
      <w:pPr>
        <w:pStyle w:val="Sansinterligne"/>
      </w:pPr>
      <w:r w:rsidRPr="00172252">
        <w:t>- une atteinte cardiaque : anomalies de l'ECG, myocardite, choc cardiogénique,</w:t>
      </w:r>
    </w:p>
    <w:p w:rsidR="00EB26CF" w:rsidRPr="00172252" w:rsidRDefault="00EB26CF" w:rsidP="00325F1E">
      <w:pPr>
        <w:pStyle w:val="Sansinterligne"/>
      </w:pPr>
      <w:r w:rsidRPr="00172252">
        <w:t>- un syndrome hémorragique diffus : purpura, hémorragies viscérales, en particulier digestives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engageant</w:t>
      </w:r>
      <w:proofErr w:type="gramEnd"/>
      <w:r w:rsidRPr="00172252">
        <w:t xml:space="preserve"> le pronostic vital.</w:t>
      </w:r>
    </w:p>
    <w:p w:rsidR="00EB26CF" w:rsidRPr="00172252" w:rsidRDefault="00EB26CF" w:rsidP="00CA1964">
      <w:pPr>
        <w:pStyle w:val="Sansinterligne"/>
      </w:pPr>
      <w:r w:rsidRPr="00172252">
        <w:t>-</w:t>
      </w:r>
      <w:r w:rsidR="00CA1964" w:rsidRPr="00172252">
        <w:t xml:space="preserve"> une atteinte pulmonaire </w:t>
      </w:r>
      <w:r w:rsidRPr="00172252">
        <w:t xml:space="preserve">alvéolite hémorragique et </w:t>
      </w:r>
      <w:proofErr w:type="spellStart"/>
      <w:r w:rsidRPr="00172252">
        <w:t>oedème</w:t>
      </w:r>
      <w:proofErr w:type="spellEnd"/>
      <w:r w:rsidR="00CA1964" w:rsidRPr="00172252">
        <w:t xml:space="preserve"> </w:t>
      </w:r>
      <w:r w:rsidRPr="00172252">
        <w:t>pulmonaire lésionnel évoluant vers un syndrome de détresse res</w:t>
      </w:r>
      <w:r w:rsidR="00CA1964" w:rsidRPr="00172252">
        <w:t>piratoire aigu (SDRA)</w:t>
      </w:r>
    </w:p>
    <w:p w:rsidR="00EB26CF" w:rsidRPr="00172252" w:rsidRDefault="00EB26CF" w:rsidP="00325F1E">
      <w:pPr>
        <w:pStyle w:val="Sansinterligne"/>
      </w:pPr>
      <w:r w:rsidRPr="00172252">
        <w:t>- des manifestations neurologiques : méningite aseptique, méningo-encéphalite, accident vasculaire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cérébr</w:t>
      </w:r>
      <w:r w:rsidR="00CA1964" w:rsidRPr="00172252">
        <w:t>al</w:t>
      </w:r>
      <w:proofErr w:type="gramEnd"/>
      <w:r w:rsidR="00CA1964" w:rsidRPr="00172252">
        <w:t>, hémorragie intracérébrale</w:t>
      </w:r>
    </w:p>
    <w:p w:rsidR="00EB26CF" w:rsidRPr="00172252" w:rsidRDefault="00EB26CF" w:rsidP="00325F1E">
      <w:pPr>
        <w:pStyle w:val="Sansinterligne"/>
      </w:pPr>
      <w:r w:rsidRPr="00172252">
        <w:t>- une atteinte oculaire : uvéite (2 à 10% des cas), uni ou bilatérale, d’apparition retardée,</w:t>
      </w:r>
    </w:p>
    <w:p w:rsidR="00EB26CF" w:rsidRPr="00172252" w:rsidRDefault="00EB26CF" w:rsidP="00325F1E">
      <w:pPr>
        <w:pStyle w:val="Sansinterligne"/>
      </w:pPr>
      <w:r w:rsidRPr="00172252">
        <w:t>L'ictère et l'atteinte cardiaque sont des facteurs de mauvais pronostic.</w:t>
      </w:r>
    </w:p>
    <w:p w:rsidR="00EB26CF" w:rsidRPr="00172252" w:rsidRDefault="00EB26CF" w:rsidP="00325F1E">
      <w:pPr>
        <w:pStyle w:val="Sansinterligne"/>
      </w:pPr>
      <w:r w:rsidRPr="00172252">
        <w:lastRenderedPageBreak/>
        <w:t>Classiquement, il n'y a pas de séquelles malgré la sévérité de l'épisode aigu.</w:t>
      </w:r>
    </w:p>
    <w:p w:rsidR="00CA1964" w:rsidRPr="00172252" w:rsidRDefault="00CA1964" w:rsidP="00325F1E">
      <w:pPr>
        <w:pStyle w:val="Sansinterligne"/>
      </w:pPr>
    </w:p>
    <w:p w:rsidR="00EB26CF" w:rsidRPr="00172252" w:rsidRDefault="00EB26CF" w:rsidP="00325F1E">
      <w:pPr>
        <w:pStyle w:val="Sansinterligne"/>
        <w:rPr>
          <w:rFonts w:cs="Arial-BoldMT"/>
          <w:b/>
          <w:bCs/>
          <w:color w:val="4F81BD" w:themeColor="accent1"/>
          <w:sz w:val="24"/>
          <w:szCs w:val="24"/>
          <w:u w:val="single"/>
        </w:rPr>
      </w:pPr>
      <w:r w:rsidRPr="00172252">
        <w:rPr>
          <w:rFonts w:cs="Arial-BoldMT"/>
          <w:b/>
          <w:bCs/>
          <w:color w:val="4F81BD" w:themeColor="accent1"/>
          <w:sz w:val="24"/>
          <w:szCs w:val="24"/>
          <w:u w:val="single"/>
        </w:rPr>
        <w:t>5. Diagnostic</w:t>
      </w:r>
    </w:p>
    <w:p w:rsidR="00495541" w:rsidRDefault="00EB26CF" w:rsidP="00325F1E">
      <w:pPr>
        <w:pStyle w:val="Sansinterligne"/>
      </w:pP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rPr>
          <w:rFonts w:cs="Arial-BoldMT"/>
          <w:b/>
          <w:bCs/>
        </w:rPr>
        <w:t>Clinique</w:t>
      </w:r>
      <w:r w:rsidRPr="00172252">
        <w:rPr>
          <w:rFonts w:cs="Arial-BoldMT"/>
          <w:b/>
          <w:bCs/>
          <w:color w:val="008100"/>
        </w:rPr>
        <w:t xml:space="preserve"> : </w:t>
      </w:r>
      <w:r w:rsidRPr="00172252">
        <w:t xml:space="preserve">Vu l’extrême polymorphisme, </w:t>
      </w:r>
      <w:r w:rsidR="000B5274" w:rsidRPr="00172252">
        <w:t xml:space="preserve">suffusion conjonctivale bilatérale, myalgies et signes </w:t>
      </w:r>
      <w:r w:rsidR="00495541" w:rsidRPr="00172252">
        <w:t>méningés</w:t>
      </w:r>
      <w:r w:rsidR="00495541">
        <w:t xml:space="preserve">, ictère orangé </w:t>
      </w:r>
      <w:r w:rsidR="00495541" w:rsidRPr="00172252">
        <w:t>dans</w:t>
      </w:r>
      <w:r w:rsidR="000B5274" w:rsidRPr="00172252">
        <w:t xml:space="preserve"> un contexte épidémiologiqu</w:t>
      </w:r>
      <w:r w:rsidR="00495541">
        <w:t xml:space="preserve">e ont une valeur prédictive. </w:t>
      </w:r>
    </w:p>
    <w:p w:rsidR="00EB26CF" w:rsidRPr="00172252" w:rsidRDefault="000B5274" w:rsidP="00325F1E">
      <w:pPr>
        <w:pStyle w:val="Sansinterligne"/>
      </w:pPr>
      <w:r w:rsidRPr="00172252">
        <w:t xml:space="preserve"> </w:t>
      </w:r>
    </w:p>
    <w:p w:rsidR="005E0B03" w:rsidRPr="00172252" w:rsidRDefault="00EB26CF" w:rsidP="00325F1E">
      <w:pPr>
        <w:pStyle w:val="Sansinterligne"/>
        <w:rPr>
          <w:rFonts w:cs="Arial-BoldMT"/>
          <w:b/>
          <w:bCs/>
        </w:rPr>
      </w:pPr>
      <w:r w:rsidRPr="00172252">
        <w:rPr>
          <w:rFonts w:cs="Arial-BoldMT"/>
          <w:b/>
          <w:bCs/>
        </w:rPr>
        <w:t xml:space="preserve"> Biologique</w:t>
      </w:r>
    </w:p>
    <w:p w:rsidR="00EB26CF" w:rsidRPr="00172252" w:rsidRDefault="00EB26CF" w:rsidP="00325F1E">
      <w:pPr>
        <w:pStyle w:val="Sansinterligne"/>
        <w:rPr>
          <w:rFonts w:cs="Arial-BoldMT"/>
          <w:b/>
          <w:bCs/>
          <w:color w:val="008100"/>
        </w:rPr>
      </w:pPr>
      <w:r w:rsidRPr="00172252">
        <w:rPr>
          <w:rFonts w:cs="Arial-BoldMT"/>
          <w:b/>
          <w:bCs/>
          <w:color w:val="008100"/>
        </w:rPr>
        <w:t xml:space="preserve">. </w:t>
      </w:r>
      <w:r w:rsidRPr="00172252">
        <w:rPr>
          <w:rFonts w:cs="Arial-BoldMT"/>
          <w:b/>
          <w:bCs/>
        </w:rPr>
        <w:t>Diagnostic non spécifique</w:t>
      </w:r>
    </w:p>
    <w:p w:rsidR="00616F71" w:rsidRPr="00172252" w:rsidRDefault="00EB26CF" w:rsidP="00325F1E">
      <w:pPr>
        <w:pStyle w:val="Sansinterligne"/>
      </w:pPr>
      <w:r w:rsidRPr="00172252">
        <w:t>- sang : hyperleucocytose à polynucléaires (jusqu’à 50 000 mm</w:t>
      </w:r>
      <w:r w:rsidRPr="00172252">
        <w:rPr>
          <w:sz w:val="13"/>
          <w:szCs w:val="13"/>
        </w:rPr>
        <w:t>3</w:t>
      </w:r>
      <w:r w:rsidRPr="00172252">
        <w:t>),</w:t>
      </w:r>
    </w:p>
    <w:p w:rsidR="00616F71" w:rsidRPr="00172252" w:rsidRDefault="00EB26CF" w:rsidP="00325F1E">
      <w:pPr>
        <w:pStyle w:val="Sansinterligne"/>
      </w:pPr>
      <w:r w:rsidRPr="00172252">
        <w:t xml:space="preserve"> </w:t>
      </w:r>
      <w:proofErr w:type="gramStart"/>
      <w:r w:rsidRPr="00172252">
        <w:t>thrombopénie</w:t>
      </w:r>
      <w:proofErr w:type="gramEnd"/>
      <w:r w:rsidRPr="00172252">
        <w:t xml:space="preserve"> (pouvant être &lt; 30000/mm</w:t>
      </w:r>
      <w:r w:rsidRPr="00172252">
        <w:rPr>
          <w:sz w:val="13"/>
          <w:szCs w:val="13"/>
        </w:rPr>
        <w:t>3</w:t>
      </w:r>
      <w:r w:rsidRPr="00172252">
        <w:t xml:space="preserve">), avec taux de prothrombine peu perturbé; 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élévation</w:t>
      </w:r>
      <w:proofErr w:type="gramEnd"/>
      <w:r w:rsidRPr="00172252">
        <w:t xml:space="preserve"> des transaminases (mais, la cytolyse</w:t>
      </w:r>
      <w:r w:rsidR="00616F71" w:rsidRPr="00172252">
        <w:t xml:space="preserve"> </w:t>
      </w:r>
      <w:r w:rsidRPr="00172252">
        <w:t>est modérée), de la bilirubinémie à prédominance conjuguée, des phosphatases alcalines; élévation</w:t>
      </w:r>
      <w:r w:rsidR="00616F71" w:rsidRPr="00172252">
        <w:t xml:space="preserve"> </w:t>
      </w:r>
      <w:r w:rsidRPr="00172252">
        <w:t>de la créatininémie, des CPK,</w:t>
      </w:r>
    </w:p>
    <w:p w:rsidR="00EB26CF" w:rsidRPr="00172252" w:rsidRDefault="00EB26CF" w:rsidP="00325F1E">
      <w:pPr>
        <w:pStyle w:val="Sansinterligne"/>
      </w:pPr>
      <w:r w:rsidRPr="00172252">
        <w:t xml:space="preserve">- urines : protéinurie, </w:t>
      </w:r>
      <w:proofErr w:type="spellStart"/>
      <w:r w:rsidRPr="00172252">
        <w:t>leucocyturie</w:t>
      </w:r>
      <w:proofErr w:type="spellEnd"/>
      <w:r w:rsidRPr="00172252">
        <w:t>, hématurie microscopique,</w:t>
      </w:r>
    </w:p>
    <w:p w:rsidR="00CA1964" w:rsidRPr="00172252" w:rsidRDefault="00EB26CF" w:rsidP="00325F1E">
      <w:pPr>
        <w:pStyle w:val="Sansinterligne"/>
      </w:pPr>
      <w:r w:rsidRPr="00172252">
        <w:t xml:space="preserve">- LCR : </w:t>
      </w:r>
      <w:proofErr w:type="spellStart"/>
      <w:r w:rsidRPr="00172252">
        <w:t>pléiocytose</w:t>
      </w:r>
      <w:proofErr w:type="spellEnd"/>
      <w:r w:rsidRPr="00172252">
        <w:t xml:space="preserve"> panachée, hyperprotéinorach</w:t>
      </w:r>
      <w:r w:rsidR="00CA1964" w:rsidRPr="00172252">
        <w:t xml:space="preserve">ie, glycorachie </w:t>
      </w:r>
      <w:r w:rsidRPr="00172252">
        <w:t>normales.</w:t>
      </w:r>
    </w:p>
    <w:p w:rsidR="00EB26CF" w:rsidRPr="00172252" w:rsidRDefault="00EB26CF" w:rsidP="00325F1E">
      <w:pPr>
        <w:pStyle w:val="Sansinterligne"/>
      </w:pP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rPr>
          <w:rFonts w:cs="Arial-BoldMT"/>
          <w:b/>
          <w:bCs/>
        </w:rPr>
        <w:t>Diagnostic spécifique</w:t>
      </w:r>
    </w:p>
    <w:p w:rsidR="00EB26CF" w:rsidRPr="00172252" w:rsidRDefault="00EB26CF" w:rsidP="00325F1E">
      <w:pPr>
        <w:pStyle w:val="Sansinterligne"/>
        <w:rPr>
          <w:rFonts w:cs="Arial-BoldMT"/>
          <w:b/>
          <w:bCs/>
        </w:rPr>
      </w:pP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rPr>
          <w:rFonts w:cs="Arial-BoldMT"/>
          <w:b/>
          <w:bCs/>
        </w:rPr>
        <w:t>Diagnostic bactériologique</w:t>
      </w:r>
    </w:p>
    <w:p w:rsidR="00EB26CF" w:rsidRPr="00172252" w:rsidRDefault="00EB26CF" w:rsidP="00372FFD">
      <w:pPr>
        <w:pStyle w:val="Sansinterligne"/>
      </w:pPr>
      <w:r w:rsidRPr="00172252">
        <w:t xml:space="preserve">- examen direct du sang pendant la première semaine, du </w:t>
      </w:r>
      <w:proofErr w:type="gramStart"/>
      <w:r w:rsidRPr="00172252">
        <w:t>L</w:t>
      </w:r>
      <w:r w:rsidR="00CA1964" w:rsidRPr="00172252">
        <w:t xml:space="preserve">CR </w:t>
      </w:r>
      <w:r w:rsidRPr="00172252">
        <w:t xml:space="preserve"> au</w:t>
      </w:r>
      <w:proofErr w:type="gramEnd"/>
      <w:r w:rsidR="00372FFD">
        <w:t xml:space="preserve"> </w:t>
      </w:r>
      <w:r w:rsidRPr="00172252">
        <w:t>début de la deuxième semaine, des urines dans la deuxième semaine (inconstant) : présence de fins</w:t>
      </w:r>
      <w:r w:rsidR="00372FFD">
        <w:t xml:space="preserve"> </w:t>
      </w:r>
      <w:r w:rsidRPr="00172252">
        <w:t xml:space="preserve">spirochètes à l’examen au microscope </w:t>
      </w:r>
      <w:r w:rsidRPr="00172252">
        <w:rPr>
          <w:b/>
          <w:bCs/>
        </w:rPr>
        <w:t>à fond noir</w:t>
      </w:r>
      <w:r w:rsidRPr="00172252">
        <w:t>,</w:t>
      </w:r>
    </w:p>
    <w:p w:rsidR="00372FFD" w:rsidRDefault="00EB26CF" w:rsidP="00325F1E">
      <w:pPr>
        <w:pStyle w:val="Sansinterligne"/>
      </w:pPr>
      <w:r w:rsidRPr="00172252">
        <w:t>- culture et identification du germe dans le sang, le LCR ou les urines aux mêmes périodes.</w:t>
      </w:r>
    </w:p>
    <w:p w:rsidR="00EB26CF" w:rsidRPr="00172252" w:rsidRDefault="00EB26CF" w:rsidP="00372FFD">
      <w:pPr>
        <w:pStyle w:val="Sansinterligne"/>
      </w:pPr>
      <w:r w:rsidRPr="00172252">
        <w:t xml:space="preserve"> La culture</w:t>
      </w:r>
      <w:r w:rsidR="00372FFD">
        <w:t xml:space="preserve"> </w:t>
      </w:r>
      <w:r w:rsidR="00172252" w:rsidRPr="00172252">
        <w:t xml:space="preserve">est lente et </w:t>
      </w:r>
      <w:bookmarkStart w:id="0" w:name="_GoBack"/>
      <w:bookmarkEnd w:id="0"/>
      <w:r w:rsidR="00372FFD" w:rsidRPr="00172252">
        <w:t>difficile.</w:t>
      </w:r>
    </w:p>
    <w:p w:rsidR="00EB26CF" w:rsidRPr="00172252" w:rsidRDefault="00EB26CF" w:rsidP="00172252">
      <w:pPr>
        <w:pStyle w:val="Sansinterligne"/>
      </w:pPr>
      <w:r w:rsidRPr="00172252">
        <w:t>- détection de l'ADN de leptospires par PCR dans le sang, le LCR ou les urines aux mêmes périodes.</w:t>
      </w:r>
    </w:p>
    <w:p w:rsidR="00CA1964" w:rsidRPr="00172252" w:rsidRDefault="00CA1964" w:rsidP="00325F1E">
      <w:pPr>
        <w:pStyle w:val="Sansinterligne"/>
      </w:pPr>
    </w:p>
    <w:p w:rsidR="00EB26CF" w:rsidRPr="00172252" w:rsidRDefault="00EB26CF" w:rsidP="00325F1E">
      <w:pPr>
        <w:pStyle w:val="Sansinterligne"/>
      </w:pPr>
      <w:r w:rsidRPr="00172252">
        <w:rPr>
          <w:rFonts w:cs="Arial-BoldMT"/>
          <w:b/>
          <w:bCs/>
          <w:color w:val="008100"/>
        </w:rPr>
        <w:t xml:space="preserve">. </w:t>
      </w:r>
      <w:r w:rsidRPr="00172252">
        <w:rPr>
          <w:rFonts w:cs="Arial-BoldMT"/>
          <w:b/>
          <w:bCs/>
        </w:rPr>
        <w:t>Diagnostic sérologique</w:t>
      </w: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t>: il permet un diagnostic à partir du 8</w:t>
      </w:r>
      <w:r w:rsidRPr="00172252">
        <w:rPr>
          <w:sz w:val="13"/>
          <w:szCs w:val="13"/>
        </w:rPr>
        <w:t xml:space="preserve">e </w:t>
      </w:r>
      <w:proofErr w:type="gramStart"/>
      <w:r w:rsidRPr="00172252">
        <w:t>jour:</w:t>
      </w:r>
      <w:proofErr w:type="gramEnd"/>
    </w:p>
    <w:p w:rsidR="00EB26CF" w:rsidRPr="00172252" w:rsidRDefault="00EB26CF" w:rsidP="00325F1E">
      <w:pPr>
        <w:pStyle w:val="Sansinterligne"/>
      </w:pPr>
      <w:r w:rsidRPr="00172252">
        <w:t xml:space="preserve">- le test de référence est le test de micro-agglutination </w:t>
      </w:r>
      <w:r w:rsidRPr="00172252">
        <w:rPr>
          <w:b/>
          <w:bCs/>
        </w:rPr>
        <w:t xml:space="preserve">de Martin et </w:t>
      </w:r>
      <w:proofErr w:type="spellStart"/>
      <w:r w:rsidRPr="00172252">
        <w:rPr>
          <w:b/>
          <w:bCs/>
        </w:rPr>
        <w:t>Pe</w:t>
      </w:r>
      <w:r w:rsidR="005E0B03" w:rsidRPr="00172252">
        <w:rPr>
          <w:b/>
          <w:bCs/>
        </w:rPr>
        <w:t>ttit</w:t>
      </w:r>
      <w:proofErr w:type="spellEnd"/>
      <w:r w:rsidR="005E0B03" w:rsidRPr="00172252">
        <w:t xml:space="preserve"> [</w:t>
      </w:r>
      <w:proofErr w:type="gramStart"/>
      <w:r w:rsidR="005E0B03" w:rsidRPr="00172252">
        <w:t xml:space="preserve">MAT] </w:t>
      </w:r>
      <w:r w:rsidRPr="00172252">
        <w:t xml:space="preserve"> le</w:t>
      </w:r>
      <w:proofErr w:type="gramEnd"/>
      <w:r w:rsidRPr="00172252">
        <w:t xml:space="preserve"> seuil de posi</w:t>
      </w:r>
      <w:r w:rsidR="005E0B03" w:rsidRPr="00172252">
        <w:t xml:space="preserve">tivité est 1/100. </w:t>
      </w:r>
    </w:p>
    <w:p w:rsidR="00EB26CF" w:rsidRPr="00172252" w:rsidRDefault="00EB26CF" w:rsidP="00325F1E">
      <w:pPr>
        <w:pStyle w:val="Sansinterligne"/>
      </w:pPr>
      <w:r w:rsidRPr="00172252">
        <w:rPr>
          <w:b/>
          <w:bCs/>
        </w:rPr>
        <w:t>- l'ELISA</w:t>
      </w:r>
      <w:r w:rsidRPr="00172252">
        <w:t xml:space="preserve"> par technique </w:t>
      </w:r>
      <w:proofErr w:type="spellStart"/>
      <w:r w:rsidRPr="00172252">
        <w:t>immunoenzymatique</w:t>
      </w:r>
      <w:proofErr w:type="spellEnd"/>
      <w:r w:rsidRPr="00172252">
        <w:t xml:space="preserve"> de d</w:t>
      </w:r>
      <w:r w:rsidR="005E0B03" w:rsidRPr="00172252">
        <w:t xml:space="preserve">étection des </w:t>
      </w:r>
      <w:proofErr w:type="spellStart"/>
      <w:r w:rsidR="005E0B03" w:rsidRPr="00172252">
        <w:t>IgM</w:t>
      </w:r>
      <w:proofErr w:type="spellEnd"/>
      <w:r w:rsidR="005E0B03" w:rsidRPr="00172252">
        <w:t xml:space="preserve">. </w:t>
      </w:r>
    </w:p>
    <w:p w:rsidR="00EB26CF" w:rsidRPr="00172252" w:rsidRDefault="00EB26CF" w:rsidP="00325F1E">
      <w:pPr>
        <w:pStyle w:val="Sansinterligne"/>
      </w:pPr>
      <w:r w:rsidRPr="00172252">
        <w:t>- les tests de diagnostic rapide sur bandele</w:t>
      </w:r>
      <w:r w:rsidR="005E0B03" w:rsidRPr="00172252">
        <w:t>ttes.</w:t>
      </w:r>
    </w:p>
    <w:p w:rsidR="00EB26CF" w:rsidRPr="00172252" w:rsidRDefault="00EB26CF" w:rsidP="00325F1E">
      <w:pPr>
        <w:pStyle w:val="Sansinterligne"/>
      </w:pPr>
    </w:p>
    <w:p w:rsidR="000B5274" w:rsidRPr="00172252" w:rsidRDefault="00EB26CF" w:rsidP="00325F1E">
      <w:pPr>
        <w:pStyle w:val="Sansinterligne"/>
        <w:rPr>
          <w:rFonts w:cs="Arial-BoldMT"/>
          <w:b/>
          <w:bCs/>
          <w:color w:val="4F81BD" w:themeColor="accent1"/>
          <w:sz w:val="24"/>
          <w:szCs w:val="24"/>
          <w:u w:val="single"/>
        </w:rPr>
      </w:pPr>
      <w:r w:rsidRPr="00172252">
        <w:rPr>
          <w:rFonts w:cs="Arial-BoldMT"/>
          <w:b/>
          <w:bCs/>
          <w:color w:val="4F81BD" w:themeColor="accent1"/>
          <w:sz w:val="24"/>
          <w:szCs w:val="24"/>
          <w:u w:val="single"/>
        </w:rPr>
        <w:t>6. Traitement</w:t>
      </w:r>
    </w:p>
    <w:p w:rsidR="00EB26CF" w:rsidRPr="00172252" w:rsidRDefault="00EB26CF" w:rsidP="00325F1E">
      <w:pPr>
        <w:pStyle w:val="Sansinterligne"/>
        <w:rPr>
          <w:rFonts w:cs="Arial-BoldMT"/>
          <w:b/>
          <w:bCs/>
          <w:sz w:val="24"/>
          <w:szCs w:val="24"/>
          <w:u w:val="single"/>
        </w:rPr>
      </w:pPr>
      <w:r w:rsidRPr="00172252">
        <w:rPr>
          <w:rFonts w:cs="Arial-BoldMT"/>
          <w:b/>
          <w:bCs/>
        </w:rPr>
        <w:t>Traitement étiologique</w:t>
      </w:r>
    </w:p>
    <w:p w:rsidR="000B5274" w:rsidRPr="00172252" w:rsidRDefault="00EB26CF" w:rsidP="00325F1E">
      <w:pPr>
        <w:pStyle w:val="Sansinterligne"/>
      </w:pPr>
      <w:r w:rsidRPr="00172252">
        <w:t xml:space="preserve">L’antibiothérapie précoce réduit la durée et la sévérité des </w:t>
      </w:r>
      <w:proofErr w:type="gramStart"/>
      <w:r w:rsidRPr="00172252">
        <w:t>sympt</w:t>
      </w:r>
      <w:r w:rsidR="000B5274" w:rsidRPr="00172252">
        <w:t xml:space="preserve">ômes </w:t>
      </w:r>
      <w:r w:rsidRPr="00172252">
        <w:t>.</w:t>
      </w:r>
      <w:proofErr w:type="gramEnd"/>
    </w:p>
    <w:p w:rsidR="000B5274" w:rsidRPr="00172252" w:rsidRDefault="00E24A2B" w:rsidP="00325F1E">
      <w:pPr>
        <w:pStyle w:val="Sansinterligne"/>
      </w:pPr>
      <w:proofErr w:type="gramStart"/>
      <w:r w:rsidRPr="00172252">
        <w:rPr>
          <w:b/>
          <w:bCs/>
        </w:rPr>
        <w:t>béta</w:t>
      </w:r>
      <w:proofErr w:type="gramEnd"/>
      <w:r w:rsidRPr="00172252">
        <w:rPr>
          <w:b/>
          <w:bCs/>
        </w:rPr>
        <w:t>-</w:t>
      </w:r>
      <w:proofErr w:type="spellStart"/>
      <w:r w:rsidRPr="00172252">
        <w:rPr>
          <w:b/>
          <w:bCs/>
        </w:rPr>
        <w:t>lactamines</w:t>
      </w:r>
      <w:proofErr w:type="spellEnd"/>
      <w:r w:rsidRPr="00172252">
        <w:t xml:space="preserve">: </w:t>
      </w:r>
      <w:r w:rsidR="00EB26CF" w:rsidRPr="00172252">
        <w:t xml:space="preserve"> pénicilline G 1,5 MUIV (flash), 4 fois par jour pendant 7 jours.</w:t>
      </w:r>
    </w:p>
    <w:p w:rsidR="000B5274" w:rsidRPr="00172252" w:rsidRDefault="00EB26CF" w:rsidP="00325F1E">
      <w:pPr>
        <w:pStyle w:val="Sansinterligne"/>
      </w:pPr>
      <w:r w:rsidRPr="00172252">
        <w:t xml:space="preserve"> D'autres</w:t>
      </w:r>
      <w:r w:rsidR="000B5274" w:rsidRPr="00172252">
        <w:t xml:space="preserve"> </w:t>
      </w:r>
      <w:r w:rsidRPr="00172252">
        <w:t>antibio</w:t>
      </w:r>
      <w:r w:rsidR="00E24A2B" w:rsidRPr="00172252">
        <w:t xml:space="preserve">tiques sont actifs : </w:t>
      </w:r>
      <w:r w:rsidRPr="00172252">
        <w:t>(ampicilline, amoxicilline</w:t>
      </w:r>
      <w:proofErr w:type="gramStart"/>
      <w:r w:rsidRPr="00172252">
        <w:t>);</w:t>
      </w:r>
      <w:proofErr w:type="gramEnd"/>
      <w:r w:rsidRPr="00172252">
        <w:t xml:space="preserve"> </w:t>
      </w:r>
    </w:p>
    <w:p w:rsidR="00E24A2B" w:rsidRPr="00172252" w:rsidRDefault="00E24A2B" w:rsidP="00325F1E">
      <w:pPr>
        <w:pStyle w:val="Sansinterligne"/>
      </w:pPr>
      <w:r w:rsidRPr="00172252">
        <w:t>-  les céphalosporines de troisième génération (</w:t>
      </w:r>
      <w:proofErr w:type="spellStart"/>
      <w:r w:rsidRPr="00172252">
        <w:t>ceftriaxone</w:t>
      </w:r>
      <w:proofErr w:type="spellEnd"/>
      <w:r w:rsidRPr="00172252">
        <w:t xml:space="preserve"> : 1 gr IV/par 24 heures).</w:t>
      </w:r>
    </w:p>
    <w:p w:rsidR="00EB26CF" w:rsidRPr="00172252" w:rsidRDefault="00E24A2B" w:rsidP="00325F1E">
      <w:pPr>
        <w:pStyle w:val="Sansinterligne"/>
      </w:pPr>
      <w:r w:rsidRPr="00172252">
        <w:t xml:space="preserve">  </w:t>
      </w:r>
      <w:r w:rsidR="000B5274" w:rsidRPr="00172252">
        <w:t xml:space="preserve">  - </w:t>
      </w:r>
      <w:r w:rsidR="00EB26CF" w:rsidRPr="00172252">
        <w:t>les tétracyclines</w:t>
      </w:r>
      <w:r w:rsidR="000B5274" w:rsidRPr="00172252">
        <w:t xml:space="preserve"> </w:t>
      </w:r>
      <w:r w:rsidR="00EB26CF" w:rsidRPr="00172252">
        <w:t>(</w:t>
      </w:r>
      <w:proofErr w:type="spellStart"/>
      <w:r w:rsidR="00EB26CF" w:rsidRPr="00172252">
        <w:t>doxycycline</w:t>
      </w:r>
      <w:proofErr w:type="spellEnd"/>
      <w:r w:rsidR="00EB26CF" w:rsidRPr="00172252">
        <w:t xml:space="preserve"> : 100 mg 2 fois par jour) pendant 7 jours,</w:t>
      </w:r>
    </w:p>
    <w:p w:rsidR="00EB26CF" w:rsidRPr="00172252" w:rsidRDefault="00EB26CF" w:rsidP="00325F1E">
      <w:pPr>
        <w:pStyle w:val="Sansinterligne"/>
      </w:pPr>
      <w:r w:rsidRPr="00172252">
        <w:rPr>
          <w:b/>
          <w:bCs/>
        </w:rPr>
        <w:t>En pratique</w:t>
      </w:r>
      <w:r w:rsidRPr="00172252">
        <w:t xml:space="preserve"> :</w:t>
      </w:r>
    </w:p>
    <w:p w:rsidR="00EB26CF" w:rsidRPr="00172252" w:rsidRDefault="00EB26CF" w:rsidP="00325F1E">
      <w:pPr>
        <w:pStyle w:val="Sansinterligne"/>
      </w:pPr>
      <w:r w:rsidRPr="00172252">
        <w:t>- traitement des formes n</w:t>
      </w:r>
      <w:r w:rsidR="000B5274" w:rsidRPr="00172252">
        <w:t xml:space="preserve">on sévères : premier choix </w:t>
      </w:r>
      <w:proofErr w:type="spellStart"/>
      <w:r w:rsidR="000B5274" w:rsidRPr="00172252">
        <w:t>doxyc</w:t>
      </w:r>
      <w:r w:rsidRPr="00172252">
        <w:t>ycl</w:t>
      </w:r>
      <w:r w:rsidR="005E0B03" w:rsidRPr="00172252">
        <w:t>ine</w:t>
      </w:r>
      <w:proofErr w:type="spellEnd"/>
      <w:r w:rsidR="005E0B03" w:rsidRPr="00172252">
        <w:t xml:space="preserve">, </w:t>
      </w:r>
      <w:proofErr w:type="gramStart"/>
      <w:r w:rsidR="005E0B03" w:rsidRPr="00172252">
        <w:t xml:space="preserve">amoxicilline </w:t>
      </w:r>
      <w:r w:rsidRPr="00172252">
        <w:t>.</w:t>
      </w:r>
      <w:proofErr w:type="gramEnd"/>
    </w:p>
    <w:p w:rsidR="00EB26CF" w:rsidRPr="00172252" w:rsidRDefault="00EB26CF" w:rsidP="00325F1E">
      <w:pPr>
        <w:pStyle w:val="Sansinterligne"/>
      </w:pPr>
      <w:r w:rsidRPr="00172252">
        <w:t xml:space="preserve">- traitement des formes sévères : </w:t>
      </w:r>
      <w:proofErr w:type="spellStart"/>
      <w:r w:rsidRPr="00172252">
        <w:t>ceftriaxone</w:t>
      </w:r>
      <w:proofErr w:type="spellEnd"/>
      <w:r w:rsidRPr="00172252">
        <w:t xml:space="preserve">, pénicilline G, amoxicilline </w:t>
      </w:r>
      <w:r w:rsidR="005E0B03" w:rsidRPr="00172252">
        <w:t>(1g IV 3 fois /</w:t>
      </w:r>
      <w:r w:rsidRPr="00172252">
        <w:t>jour).</w:t>
      </w:r>
    </w:p>
    <w:p w:rsidR="00172252" w:rsidRPr="00172252" w:rsidRDefault="00172252" w:rsidP="00325F1E">
      <w:pPr>
        <w:pStyle w:val="Sansinterligne"/>
      </w:pPr>
    </w:p>
    <w:p w:rsidR="00EB26CF" w:rsidRPr="00172252" w:rsidRDefault="00EB26CF" w:rsidP="00325F1E">
      <w:pPr>
        <w:pStyle w:val="Sansinterligne"/>
        <w:rPr>
          <w:color w:val="008100"/>
        </w:rPr>
      </w:pP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rPr>
          <w:rFonts w:cs="Arial-BoldMT"/>
          <w:b/>
          <w:bCs/>
        </w:rPr>
        <w:t>Traitement symptomatique spécifique à chaque complication</w:t>
      </w: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rPr>
          <w:color w:val="008100"/>
        </w:rPr>
        <w:t>:</w:t>
      </w:r>
    </w:p>
    <w:p w:rsidR="00EB26CF" w:rsidRPr="00172252" w:rsidRDefault="00EB26CF" w:rsidP="00325F1E">
      <w:pPr>
        <w:pStyle w:val="Sansinterligne"/>
      </w:pPr>
      <w:r w:rsidRPr="00172252">
        <w:t>- épuration extra-rénale : insuffisance rénale, rhabdomyolyse sévère,</w:t>
      </w:r>
    </w:p>
    <w:p w:rsidR="00EB26CF" w:rsidRPr="00172252" w:rsidRDefault="00EB26CF" w:rsidP="00325F1E">
      <w:pPr>
        <w:pStyle w:val="Sansinterligne"/>
      </w:pPr>
      <w:r w:rsidRPr="00172252">
        <w:t>- ventilation mécanique : défaillance ventilatoire, SDRA,</w:t>
      </w:r>
    </w:p>
    <w:p w:rsidR="00EB26CF" w:rsidRPr="00172252" w:rsidRDefault="00EB26CF" w:rsidP="00325F1E">
      <w:pPr>
        <w:pStyle w:val="Sansinterligne"/>
      </w:pPr>
      <w:r w:rsidRPr="00172252">
        <w:t>- transfusion de plasma frais congelé et concentrés globulaires : hémorragies massives,</w:t>
      </w:r>
    </w:p>
    <w:p w:rsidR="00EB26CF" w:rsidRPr="00172252" w:rsidRDefault="00EB26CF" w:rsidP="00325F1E">
      <w:pPr>
        <w:pStyle w:val="Sansinterligne"/>
      </w:pPr>
      <w:r w:rsidRPr="00172252">
        <w:t xml:space="preserve">- drogues </w:t>
      </w:r>
      <w:proofErr w:type="spellStart"/>
      <w:r w:rsidRPr="00172252">
        <w:t>vaso</w:t>
      </w:r>
      <w:proofErr w:type="spellEnd"/>
      <w:r w:rsidRPr="00172252">
        <w:t>-actives après prise des pressions : choc cardio-vasculaire.</w:t>
      </w:r>
    </w:p>
    <w:p w:rsidR="00325F1E" w:rsidRPr="00172252" w:rsidRDefault="00325F1E" w:rsidP="00325F1E">
      <w:pPr>
        <w:pStyle w:val="Sansinterligne"/>
      </w:pPr>
    </w:p>
    <w:p w:rsidR="00EB26CF" w:rsidRPr="00172252" w:rsidRDefault="00EB26CF" w:rsidP="00325F1E">
      <w:pPr>
        <w:pStyle w:val="Sansinterligne"/>
        <w:rPr>
          <w:rFonts w:cs="Arial-BoldMT"/>
          <w:b/>
          <w:bCs/>
          <w:color w:val="4F81BD" w:themeColor="accent1"/>
          <w:sz w:val="24"/>
          <w:szCs w:val="24"/>
          <w:u w:val="single"/>
        </w:rPr>
      </w:pPr>
      <w:r w:rsidRPr="00172252">
        <w:rPr>
          <w:rFonts w:cs="Arial-BoldMT"/>
          <w:b/>
          <w:bCs/>
          <w:color w:val="4F81BD" w:themeColor="accent1"/>
          <w:sz w:val="24"/>
          <w:szCs w:val="24"/>
          <w:u w:val="single"/>
        </w:rPr>
        <w:t>7. Prophylaxie</w:t>
      </w:r>
    </w:p>
    <w:p w:rsidR="00EB26CF" w:rsidRPr="00172252" w:rsidRDefault="00EB26CF" w:rsidP="00325F1E">
      <w:pPr>
        <w:pStyle w:val="Sansinterligne"/>
      </w:pPr>
      <w:r w:rsidRPr="00172252">
        <w:rPr>
          <w:rFonts w:cs="Arial-BoldMT"/>
          <w:b/>
          <w:bCs/>
        </w:rPr>
        <w:t xml:space="preserve"> Collective chez l'homme</w:t>
      </w: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rPr>
          <w:color w:val="008100"/>
        </w:rPr>
        <w:t xml:space="preserve">: </w:t>
      </w:r>
      <w:r w:rsidRPr="00172252">
        <w:t>éviter les zones humides où pullulent les rongeurs, éviter les</w:t>
      </w:r>
    </w:p>
    <w:p w:rsidR="005E0B03" w:rsidRPr="00172252" w:rsidRDefault="005E0B03" w:rsidP="00325F1E">
      <w:pPr>
        <w:pStyle w:val="Sansinterligne"/>
        <w:rPr>
          <w:rFonts w:cs="Arial-BoldMT"/>
          <w:b/>
          <w:bCs/>
          <w:color w:val="008100"/>
        </w:rPr>
      </w:pPr>
      <w:proofErr w:type="gramStart"/>
      <w:r w:rsidRPr="00172252">
        <w:t>baignades</w:t>
      </w:r>
      <w:proofErr w:type="gramEnd"/>
      <w:r w:rsidRPr="00172252">
        <w:t xml:space="preserve"> en eaux mal connues </w:t>
      </w:r>
    </w:p>
    <w:p w:rsidR="00EB26CF" w:rsidRPr="00172252" w:rsidRDefault="00EB26CF" w:rsidP="00325F1E">
      <w:pPr>
        <w:pStyle w:val="Sansinterligne"/>
      </w:pP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rPr>
          <w:rFonts w:cs="Arial-BoldMT"/>
          <w:b/>
          <w:bCs/>
        </w:rPr>
        <w:t>Individuelle chez l'homme</w:t>
      </w:r>
      <w:r w:rsidRPr="00172252">
        <w:rPr>
          <w:rFonts w:cs="Arial-BoldMT"/>
          <w:b/>
          <w:bCs/>
          <w:color w:val="008100"/>
        </w:rPr>
        <w:t xml:space="preserve"> </w:t>
      </w:r>
      <w:r w:rsidRPr="00172252">
        <w:t>: protection par bottes, lunettes ; vacc</w:t>
      </w:r>
      <w:r w:rsidR="005E0B03" w:rsidRPr="00172252">
        <w:t xml:space="preserve">in spécifiquement dirigé </w:t>
      </w:r>
      <w:proofErr w:type="spellStart"/>
      <w:r w:rsidR="005E0B03" w:rsidRPr="00172252">
        <w:t>contre</w:t>
      </w:r>
      <w:r w:rsidRPr="00172252">
        <w:rPr>
          <w:rFonts w:cs="Arial-ItalicMT"/>
          <w:i/>
          <w:iCs/>
        </w:rPr>
        <w:t>L</w:t>
      </w:r>
      <w:proofErr w:type="spellEnd"/>
      <w:r w:rsidRPr="00172252">
        <w:rPr>
          <w:rFonts w:cs="Arial-ItalicMT"/>
          <w:i/>
          <w:iCs/>
        </w:rPr>
        <w:t xml:space="preserve">. </w:t>
      </w:r>
      <w:proofErr w:type="spellStart"/>
      <w:proofErr w:type="gramStart"/>
      <w:r w:rsidRPr="00172252">
        <w:rPr>
          <w:rFonts w:cs="Arial-ItalicMT"/>
          <w:i/>
          <w:iCs/>
        </w:rPr>
        <w:t>icterohaemorrhagiae</w:t>
      </w:r>
      <w:proofErr w:type="spellEnd"/>
      <w:proofErr w:type="gramEnd"/>
      <w:r w:rsidRPr="00172252">
        <w:rPr>
          <w:rFonts w:cs="Arial-ItalicMT"/>
          <w:i/>
          <w:iCs/>
        </w:rPr>
        <w:t xml:space="preserve"> </w:t>
      </w:r>
      <w:r w:rsidRPr="00172252">
        <w:t>(SPIROLEPT) efficace mais peu utilisé, sauf pour les professions très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lastRenderedPageBreak/>
        <w:t>exposées</w:t>
      </w:r>
      <w:proofErr w:type="gramEnd"/>
      <w:r w:rsidRPr="00172252">
        <w:t xml:space="preserve"> (égoutiers, éboueu</w:t>
      </w:r>
      <w:r w:rsidR="005E0B03" w:rsidRPr="00172252">
        <w:t>rs); information des voyageurs.</w:t>
      </w:r>
    </w:p>
    <w:p w:rsidR="00EB26CF" w:rsidRPr="00172252" w:rsidRDefault="00EB26CF" w:rsidP="00325F1E">
      <w:pPr>
        <w:pStyle w:val="Sansinterligne"/>
      </w:pPr>
      <w:r w:rsidRPr="00172252">
        <w:t xml:space="preserve">En cas de risque d’exposition à des eaux polluées, une </w:t>
      </w:r>
      <w:proofErr w:type="spellStart"/>
      <w:r w:rsidRPr="00172252">
        <w:t>chimioprophylaxie</w:t>
      </w:r>
      <w:proofErr w:type="spellEnd"/>
      <w:r w:rsidRPr="00172252">
        <w:t xml:space="preserve"> par </w:t>
      </w:r>
      <w:proofErr w:type="spellStart"/>
      <w:r w:rsidRPr="00172252">
        <w:t>doxycycline</w:t>
      </w:r>
      <w:proofErr w:type="spellEnd"/>
      <w:r w:rsidRPr="00172252">
        <w:t xml:space="preserve"> 200 mg par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semaine</w:t>
      </w:r>
      <w:proofErr w:type="gramEnd"/>
      <w:r w:rsidRPr="00172252">
        <w:t xml:space="preserve"> est efficace à 95%.</w:t>
      </w:r>
      <w:r w:rsidR="005E0B03" w:rsidRPr="00172252">
        <w:t xml:space="preserve"> </w:t>
      </w:r>
    </w:p>
    <w:p w:rsidR="00172252" w:rsidRPr="00172252" w:rsidRDefault="00172252" w:rsidP="00325F1E">
      <w:pPr>
        <w:pStyle w:val="Sansinterligne"/>
      </w:pPr>
    </w:p>
    <w:p w:rsidR="00EB26CF" w:rsidRPr="00172252" w:rsidRDefault="00EB26CF" w:rsidP="00325F1E">
      <w:pPr>
        <w:pStyle w:val="Sansinterligne"/>
        <w:rPr>
          <w:rFonts w:cs="Arial-BoldMT"/>
          <w:b/>
          <w:bCs/>
          <w:color w:val="008100"/>
        </w:rPr>
      </w:pPr>
      <w:r w:rsidRPr="00172252">
        <w:rPr>
          <w:rFonts w:cs="Arial-BoldMT"/>
          <w:b/>
          <w:bCs/>
          <w:sz w:val="20"/>
          <w:szCs w:val="20"/>
        </w:rPr>
        <w:t xml:space="preserve"> Contrôle des réservoirs animaux</w:t>
      </w:r>
      <w:r w:rsidRPr="00172252">
        <w:rPr>
          <w:rFonts w:cs="Arial-BoldMT"/>
          <w:b/>
          <w:bCs/>
          <w:color w:val="008100"/>
          <w:sz w:val="20"/>
          <w:szCs w:val="20"/>
        </w:rPr>
        <w:t xml:space="preserve"> </w:t>
      </w:r>
      <w:r w:rsidRPr="00172252">
        <w:rPr>
          <w:rFonts w:cs="Arial-BoldMT"/>
          <w:b/>
          <w:bCs/>
          <w:color w:val="008100"/>
        </w:rPr>
        <w:t>:</w:t>
      </w:r>
    </w:p>
    <w:p w:rsidR="00325F1E" w:rsidRPr="00172252" w:rsidRDefault="00EB26CF" w:rsidP="00325F1E">
      <w:pPr>
        <w:pStyle w:val="Sansinterligne"/>
      </w:pPr>
      <w:r w:rsidRPr="00172252">
        <w:t xml:space="preserve">Il peut être réalisé sur des populations animales bien définies (chiens, troupeaux). </w:t>
      </w:r>
    </w:p>
    <w:p w:rsidR="00EB26CF" w:rsidRPr="00172252" w:rsidRDefault="00EB26CF" w:rsidP="00325F1E">
      <w:pPr>
        <w:pStyle w:val="Sansinterligne"/>
      </w:pPr>
      <w:r w:rsidRPr="00172252">
        <w:t>La lutte sélective</w:t>
      </w:r>
    </w:p>
    <w:p w:rsidR="00EB26CF" w:rsidRPr="00172252" w:rsidRDefault="00EB26CF" w:rsidP="00325F1E">
      <w:pPr>
        <w:pStyle w:val="Sansinterligne"/>
      </w:pPr>
      <w:proofErr w:type="gramStart"/>
      <w:r w:rsidRPr="00172252">
        <w:t>contre</w:t>
      </w:r>
      <w:proofErr w:type="gramEnd"/>
      <w:r w:rsidRPr="00172252">
        <w:t xml:space="preserve"> les rongeurs est difficile, en pratique négligée.</w:t>
      </w:r>
    </w:p>
    <w:p w:rsidR="009A1DA8" w:rsidRPr="00172252" w:rsidRDefault="009A1DA8" w:rsidP="00325F1E">
      <w:pPr>
        <w:pStyle w:val="Sansinterligne"/>
      </w:pPr>
    </w:p>
    <w:sectPr w:rsidR="009A1DA8" w:rsidRPr="00172252" w:rsidSect="009A1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69" w:rsidRDefault="00206969" w:rsidP="0082265D">
      <w:pPr>
        <w:spacing w:after="0" w:line="240" w:lineRule="auto"/>
      </w:pPr>
      <w:r>
        <w:separator/>
      </w:r>
    </w:p>
  </w:endnote>
  <w:endnote w:type="continuationSeparator" w:id="0">
    <w:p w:rsidR="00206969" w:rsidRDefault="00206969" w:rsidP="008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69" w:rsidRDefault="00206969" w:rsidP="0082265D">
      <w:pPr>
        <w:spacing w:after="0" w:line="240" w:lineRule="auto"/>
      </w:pPr>
      <w:r>
        <w:separator/>
      </w:r>
    </w:p>
  </w:footnote>
  <w:footnote w:type="continuationSeparator" w:id="0">
    <w:p w:rsidR="00206969" w:rsidRDefault="00206969" w:rsidP="0082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5D" w:rsidRDefault="0082265D" w:rsidP="0082265D">
    <w:pPr>
      <w:pStyle w:val="En-tte"/>
    </w:pPr>
    <w:proofErr w:type="spellStart"/>
    <w:proofErr w:type="gramStart"/>
    <w:r>
      <w:t>Dr.YBadla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CF"/>
    <w:rsid w:val="00022898"/>
    <w:rsid w:val="0002468C"/>
    <w:rsid w:val="00025A19"/>
    <w:rsid w:val="000B5274"/>
    <w:rsid w:val="00131A7E"/>
    <w:rsid w:val="00172252"/>
    <w:rsid w:val="00206969"/>
    <w:rsid w:val="002F7B63"/>
    <w:rsid w:val="00325F1E"/>
    <w:rsid w:val="0034581D"/>
    <w:rsid w:val="00372FFD"/>
    <w:rsid w:val="003A65AF"/>
    <w:rsid w:val="003B0CA2"/>
    <w:rsid w:val="004200AC"/>
    <w:rsid w:val="00495541"/>
    <w:rsid w:val="00566290"/>
    <w:rsid w:val="00572473"/>
    <w:rsid w:val="005E0B03"/>
    <w:rsid w:val="00616F71"/>
    <w:rsid w:val="0082265D"/>
    <w:rsid w:val="00985166"/>
    <w:rsid w:val="009A1DA8"/>
    <w:rsid w:val="00BB7D4D"/>
    <w:rsid w:val="00CA1964"/>
    <w:rsid w:val="00CB10E6"/>
    <w:rsid w:val="00D34E21"/>
    <w:rsid w:val="00E22C7D"/>
    <w:rsid w:val="00E24A2B"/>
    <w:rsid w:val="00E9636E"/>
    <w:rsid w:val="00EB26CF"/>
    <w:rsid w:val="00EF1661"/>
    <w:rsid w:val="00F372EC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DBA0"/>
  <w15:docId w15:val="{8660E899-3BB1-43B8-881C-5B89C660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7D4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D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65D"/>
  </w:style>
  <w:style w:type="paragraph" w:styleId="Pieddepage">
    <w:name w:val="footer"/>
    <w:basedOn w:val="Normal"/>
    <w:link w:val="PieddepageCar"/>
    <w:uiPriority w:val="99"/>
    <w:semiHidden/>
    <w:unhideWhenUsed/>
    <w:rsid w:val="0082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65D"/>
  </w:style>
  <w:style w:type="paragraph" w:styleId="NormalWeb">
    <w:name w:val="Normal (Web)"/>
    <w:basedOn w:val="Normal"/>
    <w:uiPriority w:val="99"/>
    <w:semiHidden/>
    <w:unhideWhenUsed/>
    <w:rsid w:val="000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ECA71-E74A-4AB9-B615-9522EF56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badla a.krim</cp:lastModifiedBy>
  <cp:revision>2</cp:revision>
  <dcterms:created xsi:type="dcterms:W3CDTF">2016-11-29T12:47:00Z</dcterms:created>
  <dcterms:modified xsi:type="dcterms:W3CDTF">2016-11-29T12:47:00Z</dcterms:modified>
</cp:coreProperties>
</file>