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DC" w:rsidRPr="00050357" w:rsidRDefault="006510DC" w:rsidP="006510DC">
      <w:pPr>
        <w:pStyle w:val="Paragraphedeliste"/>
        <w:ind w:left="-130" w:right="-993" w:hanging="296"/>
        <w:rPr>
          <w:rFonts w:ascii="Andalus" w:hAnsi="Andalus" w:cs="Andalus"/>
          <w:color w:val="F0A22E"/>
          <w:sz w:val="20"/>
          <w:szCs w:val="20"/>
        </w:rPr>
      </w:pPr>
      <w:r w:rsidRPr="00050357">
        <w:rPr>
          <w:rFonts w:ascii="Andalus" w:eastAsiaTheme="minorEastAsia" w:hAnsi="Andalus" w:cs="Andalus"/>
          <w:color w:val="1F497D" w:themeColor="text2"/>
          <w:kern w:val="24"/>
          <w:sz w:val="20"/>
          <w:szCs w:val="20"/>
        </w:rPr>
        <w:t>Dr. F. KHALOUF</w:t>
      </w:r>
    </w:p>
    <w:p w:rsidR="006510DC" w:rsidRPr="00050357" w:rsidRDefault="00050357" w:rsidP="00050357">
      <w:pPr>
        <w:ind w:right="-993"/>
        <w:rPr>
          <w:rFonts w:ascii="Andalus" w:hAnsi="Andalus" w:cs="Andalus"/>
          <w:b/>
          <w:bCs/>
          <w:color w:val="FF0000"/>
          <w:sz w:val="48"/>
          <w:szCs w:val="48"/>
          <w:u w:val="single"/>
        </w:rPr>
      </w:pPr>
      <w:r>
        <w:rPr>
          <w:rFonts w:ascii="Andalus" w:eastAsiaTheme="minorEastAsia" w:hAnsi="Andalus" w:cs="Andalus"/>
          <w:color w:val="0070C0"/>
          <w:kern w:val="24"/>
          <w:sz w:val="82"/>
          <w:szCs w:val="82"/>
          <w:lang w:eastAsia="fr-FR"/>
        </w:rPr>
        <w:t xml:space="preserve">      </w:t>
      </w:r>
      <w:r w:rsidR="006510DC" w:rsidRPr="00050357">
        <w:rPr>
          <w:rFonts w:ascii="Andalus" w:eastAsiaTheme="minorEastAsia" w:hAnsi="Andalus" w:cs="Andalus"/>
          <w:b/>
          <w:bCs/>
          <w:color w:val="FF0000"/>
          <w:kern w:val="24"/>
          <w:sz w:val="48"/>
          <w:szCs w:val="48"/>
          <w:u w:val="single"/>
        </w:rPr>
        <w:t>PNEUMOPATHIES OPPORTUNISTES</w:t>
      </w:r>
    </w:p>
    <w:p w:rsidR="006510DC" w:rsidRPr="0005035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b/>
          <w:bCs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I-Introduction:</w:t>
      </w:r>
    </w:p>
    <w:p w:rsidR="006510DC" w:rsidRPr="001C1E67" w:rsidRDefault="006510DC" w:rsidP="006510DC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survenue d’une pneumopathie opportuniste chez l’immunodéprimé est fréquente</w:t>
      </w:r>
    </w:p>
    <w:p w:rsidR="006510DC" w:rsidRPr="001C1E67" w:rsidRDefault="006510DC" w:rsidP="006510DC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Morbi-mortalité importantes</w:t>
      </w:r>
    </w:p>
    <w:p w:rsidR="00050357" w:rsidRPr="00050357" w:rsidRDefault="006510DC" w:rsidP="00050357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Nombreux agents pathogènes impliqués, isolément ou de façon associée; communautaires ou nosocomiaux</w:t>
      </w:r>
    </w:p>
    <w:p w:rsidR="006510DC" w:rsidRPr="00050357" w:rsidRDefault="006510DC" w:rsidP="00050357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 xml:space="preserve">II-principales causes d’immunodépression: </w:t>
      </w:r>
    </w:p>
    <w:p w:rsidR="006510DC" w:rsidRPr="001C1E67" w:rsidRDefault="006510DC" w:rsidP="006510DC">
      <w:pPr>
        <w:pStyle w:val="Paragraphedeliste"/>
        <w:numPr>
          <w:ilvl w:val="0"/>
          <w:numId w:val="3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Altération du système immunitaire local ou systémique</w:t>
      </w:r>
    </w:p>
    <w:p w:rsidR="006510DC" w:rsidRPr="001C1E67" w:rsidRDefault="006510DC" w:rsidP="006510DC">
      <w:pPr>
        <w:pStyle w:val="Paragraphedeliste"/>
        <w:numPr>
          <w:ilvl w:val="0"/>
          <w:numId w:val="3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nature de l’infection dépend du type d’immunodépression: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III-Présentation clinique</w:t>
      </w: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28"/>
          <w:szCs w:val="28"/>
          <w:u w:val="single"/>
        </w:rPr>
        <w:t>: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Début aigu ou subai</w:t>
      </w:r>
      <w:r w:rsidR="00050357">
        <w:rPr>
          <w:rFonts w:ascii="Andalus" w:eastAsiaTheme="minorEastAsia" w:hAnsi="Andalus" w:cs="Andalus"/>
          <w:kern w:val="24"/>
          <w:sz w:val="28"/>
          <w:szCs w:val="28"/>
        </w:rPr>
        <w:t>gu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fièvre peut être masquée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Le reste des signes clinique ne diffère pas des pneumopathies de l’immunocompétent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Signes extra respiratoires:</w:t>
      </w:r>
    </w:p>
    <w:p w:rsidR="00050357" w:rsidRDefault="006510DC" w:rsidP="00050357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Rares mais de grande valeur diagnostique: atteinte nodulaire +cérébrale: mycose: aspergillose; mucomycose; cryptococcose; candidose; nocardiose</w:t>
      </w:r>
    </w:p>
    <w:p w:rsidR="006510DC" w:rsidRPr="00050357" w:rsidRDefault="006510DC" w:rsidP="00050357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 xml:space="preserve">IV-outils </w:t>
      </w:r>
      <w:r w:rsid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diagnostic</w:t>
      </w: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s: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Dès que le diagnostic est posé, un traitement empirique s’impose le plus tôt possible en parallèle avec les explorations diagnostiques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eastAsiaTheme="minorEastAsia" w:hAnsi="Andalus" w:cs="Andalus"/>
          <w:kern w:val="24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Les moyens diagnostiques invasifs ( endoscopie, biopsie pulmonaire) se discutent 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au cas par cas</w:t>
      </w:r>
      <w:r w:rsidR="00050357">
        <w:rPr>
          <w:rFonts w:ascii="Andalus" w:eastAsiaTheme="minorEastAsia" w:hAnsi="Andalus" w:cs="Andalus"/>
          <w:kern w:val="24"/>
          <w:sz w:val="28"/>
          <w:szCs w:val="28"/>
        </w:rPr>
        <w:t>.</w:t>
      </w:r>
    </w:p>
    <w:p w:rsidR="006510DC" w:rsidRPr="001C1E67" w:rsidRDefault="006510DC" w:rsidP="00050357">
      <w:pPr>
        <w:pStyle w:val="NormalWeb"/>
        <w:spacing w:before="0" w:beforeAutospacing="0" w:after="0" w:afterAutospacing="0"/>
        <w:ind w:right="-993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t>1-examen de l’expectoration:</w:t>
      </w:r>
      <w:r w:rsid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Spontanée ou induite, simple et non invasive, permet de poser le diagnostic dans 31% des cas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426" w:right="-993" w:hanging="141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L’expectoration induite est très rentable pour le diagnostic de pneumocystose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t>2- aspiration naso-pharyngée</w:t>
      </w: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:</w:t>
      </w:r>
      <w:r w:rsid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virus respiratoires</w:t>
      </w:r>
    </w:p>
    <w:p w:rsidR="006510DC" w:rsidRPr="001C1E67" w:rsidRDefault="006510DC" w:rsidP="00050357">
      <w:pPr>
        <w:pStyle w:val="NormalWeb"/>
        <w:tabs>
          <w:tab w:val="left" w:pos="5408"/>
        </w:tabs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t>3-scanner thoracique:</w:t>
      </w:r>
      <w:r w:rsidR="00050357">
        <w:rPr>
          <w:rFonts w:ascii="Andalus" w:hAnsi="Andalus" w:cs="Andalus"/>
          <w:sz w:val="28"/>
          <w:szCs w:val="28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Dépister les lésions, topographie, étendue, nature, orientation des prélèvements 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Ne pas négliger le rôle du la radiographie thoracique</w:t>
      </w:r>
    </w:p>
    <w:p w:rsidR="006510DC" w:rsidRPr="001C1E67" w:rsidRDefault="006510DC" w:rsidP="00050357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lastRenderedPageBreak/>
        <w:t>4- endoscopie bronchique</w:t>
      </w: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</w:rPr>
        <w:t>:</w:t>
      </w:r>
      <w:r w:rsidR="00050357">
        <w:rPr>
          <w:rFonts w:ascii="Andalus" w:hAnsi="Andalus" w:cs="Andalus"/>
          <w:sz w:val="28"/>
          <w:szCs w:val="28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Utile chez les patients recevant une antibiothérapie ampirique, avec le LBA et les biopsies transbronchiques il constitue un examen de référence pour le diagnostic bactériologique, viral et mycologique</w:t>
      </w:r>
    </w:p>
    <w:p w:rsidR="006510DC" w:rsidRPr="001C1E67" w:rsidRDefault="006510DC" w:rsidP="00050357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kern w:val="24"/>
          <w:sz w:val="28"/>
          <w:szCs w:val="28"/>
          <w:u w:val="single"/>
        </w:rPr>
        <w:t>5- biopsie pulmonaire:</w:t>
      </w:r>
      <w:r w:rsidR="00050357">
        <w:rPr>
          <w:rFonts w:ascii="Andalus" w:hAnsi="Andalus" w:cs="Andalus"/>
          <w:sz w:val="28"/>
          <w:szCs w:val="28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Transthoraciquescanno-guidée ou par abord chirurgical ( vidéothoracoscopie ou thoracotomie), mais à envisager en seconde intention, car morbidité et mortalité importantes chez ces patients, </w:t>
      </w:r>
    </w:p>
    <w:p w:rsidR="006510DC" w:rsidRPr="0005035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b/>
          <w:bCs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V-différentes pneumopathies infectieuses: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</w:rPr>
        <w:t>1-pneumopathies bactériennes et mycobactéries: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Particulièrement fréquentes chez les immunodéprimés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BGN et </w:t>
      </w: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 xml:space="preserve">staphylococcus aureus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méthicilline résistants particulièrement fréquents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Légionellose, notamment chez les transplantés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>Nocardia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est fréquente chez les patients sous corticoïdes à forte dose, localisation disséminée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 xml:space="preserve">Mycobacterium tuberculosis: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risquede 50 à 100 fois par rapport à la population générale, avec mortalité plus élevée, liée à l’infection et la toxicité médicamenteuse,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Souvent par réactivation endogène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Les signes cliniques et radiologiques sont souvent atypiques</w:t>
      </w:r>
    </w:p>
    <w:p w:rsidR="00050357" w:rsidRPr="00050357" w:rsidRDefault="006510DC" w:rsidP="00050357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Mycobactéries atypiques</w:t>
      </w:r>
    </w:p>
    <w:p w:rsidR="006510DC" w:rsidRPr="00050357" w:rsidRDefault="006510DC" w:rsidP="00050357">
      <w:pPr>
        <w:ind w:left="-851" w:right="-993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</w:rPr>
        <w:t>2-pneumopathies virales:</w:t>
      </w:r>
    </w:p>
    <w:p w:rsidR="006510DC" w:rsidRPr="001C1E67" w:rsidRDefault="006510DC" w:rsidP="00EF71DE">
      <w:pPr>
        <w:pStyle w:val="Paragraphedeliste"/>
        <w:numPr>
          <w:ilvl w:val="0"/>
          <w:numId w:val="6"/>
        </w:numPr>
        <w:ind w:left="-130" w:right="-993" w:hanging="296"/>
        <w:rPr>
          <w:rFonts w:ascii="Andalus" w:hAnsi="Andalus" w:cs="Andalus"/>
          <w:sz w:val="28"/>
          <w:szCs w:val="28"/>
        </w:rPr>
      </w:pPr>
      <w:bookmarkStart w:id="0" w:name="_GoBack"/>
      <w:r w:rsidRPr="001C1E67">
        <w:rPr>
          <w:rFonts w:ascii="Andalus" w:eastAsiaTheme="minorEastAsia" w:hAnsi="Andalus" w:cs="Andalus"/>
          <w:kern w:val="24"/>
          <w:sz w:val="28"/>
          <w:szCs w:val="28"/>
        </w:rPr>
        <w:t>CMV; autrefois fréquent, son incidence a diminué grâce aux traitements prophylactiques</w:t>
      </w:r>
    </w:p>
    <w:p w:rsidR="006510DC" w:rsidRPr="001C1E67" w:rsidRDefault="006510DC" w:rsidP="00EF71D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L’infection peut être asymptomatique, ou se traduire par une forme disséminée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Adénovirus: morbi-mortalité élevées, réactivation endogène, l’atteinte pulmonaire est extensive, et l’atteinte disséminée est souvent observée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VRS, virus influenzae et para influenzae: infection saisonnière très contagieuse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Rhinovirus et coronavirus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Herpès virus: la réactivation du type1 survient chez 70 80% des patients, donne rarement des pneumopathies mais qui sont souvent fatales</w:t>
      </w:r>
    </w:p>
    <w:bookmarkEnd w:id="0"/>
    <w:p w:rsidR="006510DC" w:rsidRPr="001C1E67" w:rsidRDefault="006510DC" w:rsidP="00EF71D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b/>
          <w:bCs/>
          <w:color w:val="00B050"/>
          <w:sz w:val="28"/>
          <w:szCs w:val="28"/>
          <w:u w:val="single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</w:rPr>
        <w:t>3-infections fongiques:</w:t>
      </w:r>
    </w:p>
    <w:p w:rsidR="00B31BEE" w:rsidRPr="001C1E67" w:rsidRDefault="006510DC" w:rsidP="00B31BEE">
      <w:pPr>
        <w:pStyle w:val="NormalWeb"/>
        <w:numPr>
          <w:ilvl w:val="0"/>
          <w:numId w:val="9"/>
        </w:numPr>
        <w:spacing w:before="82" w:beforeAutospacing="0" w:after="0" w:afterAutospacing="0"/>
        <w:ind w:right="-993"/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</w:rPr>
      </w:pPr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</w:rPr>
        <w:t xml:space="preserve">Pneumocystisjirovecii, </w:t>
      </w:r>
    </w:p>
    <w:p w:rsidR="006510DC" w:rsidRPr="001C1E67" w:rsidRDefault="006510DC" w:rsidP="00B31BEE">
      <w:pPr>
        <w:pStyle w:val="NormalWeb"/>
        <w:spacing w:before="82" w:beforeAutospacing="0" w:after="0" w:afterAutospacing="0"/>
        <w:ind w:left="-21" w:right="-993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fréquemment responsable de pneumopathies en cas de déficit de l’immunité cellulaire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Mortalité de 30 à 60%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Début aigu: fièvre, toux et dyspnée variable, voire IRA, 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lastRenderedPageBreak/>
        <w:t>RX: variable: peut être normale; ou verre dépoli diffus, micronodules et nodules solitaires ou multiples, kystes pulmonaires, épanchements pleuraux et adénopathies médiastinales</w:t>
      </w:r>
    </w:p>
    <w:p w:rsidR="006510DC" w:rsidRPr="001C1E67" w:rsidRDefault="00B31BEE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DG:</w:t>
      </w:r>
      <w:r w:rsidR="006510DC"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kystes de pneumocystis dans les expectorations induites ou le LBA</w:t>
      </w:r>
    </w:p>
    <w:p w:rsidR="006510DC" w:rsidRPr="001C1E67" w:rsidRDefault="006510DC" w:rsidP="00B31BE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</w:rPr>
        <w:t>B- aspergillose pulmonaire invasive: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Infection fongique la plus fréquente (A. </w:t>
      </w: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>FUMIGATUS+++)</w:t>
      </w:r>
    </w:p>
    <w:p w:rsidR="00B31BEE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Immunodépression profonde, morbidité et mortalité importantes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Patients à risque élevé: VIH + et hémopathies malignes, transplantés allogéniques et d’organes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Risque accru lors des neutropénies profondes et pr</w:t>
      </w:r>
      <w:r w:rsidR="001C1E67"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olongées et des anomalies de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phagocytose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Clinique: douleur thoracique, fièvre, toux et hémoptysie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RX: peut être normale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TDM: intérêt majeur pour orienter le diagnostic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DG: isolement du champignon dans le LBA dans 50% des cas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91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MEE dans les biopsies pulmonaires (certitude)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91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TRT: voriconazole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FF0000"/>
          <w:kern w:val="24"/>
          <w:sz w:val="28"/>
          <w:szCs w:val="28"/>
          <w:u w:val="single"/>
        </w:rPr>
        <w:t>C- candida: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Infections systémiques, l’atteinte pulmonaire se fait par dissémination hématogène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FF0000"/>
          <w:kern w:val="24"/>
          <w:sz w:val="28"/>
          <w:szCs w:val="28"/>
          <w:u w:val="single"/>
        </w:rPr>
        <w:t>D- Autres champignons:</w:t>
      </w:r>
    </w:p>
    <w:p w:rsidR="006510DC" w:rsidRPr="001C1E67" w:rsidRDefault="006510DC" w:rsidP="006510DC">
      <w:pPr>
        <w:pStyle w:val="NormalWeb"/>
        <w:spacing w:before="96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Zygomycètes, cryptococcose,histoplasmose, blastomycose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</w:rPr>
        <w:t>4- pneumopathies parasitaires: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</w:rPr>
        <w:t>A-</w:t>
      </w:r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</w:rPr>
        <w:t>toxoplasmagondii: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Rarement responsable de pneumopathies en cas d’immunodépression cellulaire profonde, fatale dans 60 à 100% des cas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L’atteinte pulmonaire survient généralement dans le cadre d’une dissémination systémique avec signes neurologiques fréquents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DG: MEE du toxoplasmagondii dans le LBA ou biopsie par la coloration Giemsa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immunofluorescence directe ou  par PCR</w:t>
      </w:r>
    </w:p>
    <w:p w:rsidR="006510DC" w:rsidRPr="0005035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050357">
        <w:rPr>
          <w:rFonts w:ascii="Andalus" w:eastAsiaTheme="minorEastAsia" w:hAnsi="Andalus" w:cs="Andalus"/>
          <w:b/>
          <w:bCs/>
          <w:kern w:val="24"/>
          <w:sz w:val="28"/>
          <w:szCs w:val="28"/>
          <w:u w:val="single"/>
        </w:rPr>
        <w:t>VI- conclusion: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La prise en charge des pneumopathies opportunistes est en constante évolution, vu l’émergence de nouveaux profils d’immunodépression, de nouveaux pathogènes et de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lastRenderedPageBreak/>
        <w:t>nouveaux outils diagnostiques et les progrès des thérapeutiques anti-infectieuses, néanmoins la variabilité clinique rend difficile de dresser une approche diagnostique et une prise en charge codifiée</w:t>
      </w:r>
    </w:p>
    <w:p w:rsidR="00355F27" w:rsidRPr="001C1E67" w:rsidRDefault="00355F27" w:rsidP="006510DC">
      <w:pPr>
        <w:ind w:left="-130" w:right="-993" w:hanging="296"/>
        <w:rPr>
          <w:rFonts w:ascii="Andalus" w:hAnsi="Andalus" w:cs="Andalus"/>
          <w:sz w:val="28"/>
          <w:szCs w:val="28"/>
        </w:rPr>
      </w:pPr>
    </w:p>
    <w:sectPr w:rsidR="00355F27" w:rsidRPr="001C1E67" w:rsidSect="008B3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5F" w:rsidRDefault="0098145F" w:rsidP="001C1E67">
      <w:pPr>
        <w:spacing w:after="0" w:line="240" w:lineRule="auto"/>
      </w:pPr>
      <w:r>
        <w:separator/>
      </w:r>
    </w:p>
  </w:endnote>
  <w:endnote w:type="continuationSeparator" w:id="1">
    <w:p w:rsidR="0098145F" w:rsidRDefault="0098145F" w:rsidP="001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21061"/>
      <w:docPartObj>
        <w:docPartGallery w:val="Page Numbers (Bottom of Page)"/>
        <w:docPartUnique/>
      </w:docPartObj>
    </w:sdtPr>
    <w:sdtContent>
      <w:p w:rsidR="001C1E67" w:rsidRDefault="0032598D">
        <w:pPr>
          <w:pStyle w:val="Pieddepage"/>
          <w:jc w:val="center"/>
        </w:pPr>
        <w:r>
          <w:fldChar w:fldCharType="begin"/>
        </w:r>
        <w:r w:rsidR="001C1E67">
          <w:instrText>PAGE   \* MERGEFORMAT</w:instrText>
        </w:r>
        <w:r>
          <w:fldChar w:fldCharType="separate"/>
        </w:r>
        <w:r w:rsidR="00466BAA">
          <w:rPr>
            <w:noProof/>
          </w:rPr>
          <w:t>4</w:t>
        </w:r>
        <w:r>
          <w:fldChar w:fldCharType="end"/>
        </w:r>
      </w:p>
    </w:sdtContent>
  </w:sdt>
  <w:p w:rsidR="001C1E67" w:rsidRDefault="001C1E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5F" w:rsidRDefault="0098145F" w:rsidP="001C1E67">
      <w:pPr>
        <w:spacing w:after="0" w:line="240" w:lineRule="auto"/>
      </w:pPr>
      <w:r>
        <w:separator/>
      </w:r>
    </w:p>
  </w:footnote>
  <w:footnote w:type="continuationSeparator" w:id="1">
    <w:p w:rsidR="0098145F" w:rsidRDefault="0098145F" w:rsidP="001C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128"/>
    <w:multiLevelType w:val="hybridMultilevel"/>
    <w:tmpl w:val="7DAA4716"/>
    <w:lvl w:ilvl="0" w:tplc="7C4C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A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6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A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548A0"/>
    <w:multiLevelType w:val="hybridMultilevel"/>
    <w:tmpl w:val="EA545E66"/>
    <w:lvl w:ilvl="0" w:tplc="F6AA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42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197112"/>
    <w:multiLevelType w:val="hybridMultilevel"/>
    <w:tmpl w:val="2F8EAF76"/>
    <w:lvl w:ilvl="0" w:tplc="E5AE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7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E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E8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ED3BB3"/>
    <w:multiLevelType w:val="hybridMultilevel"/>
    <w:tmpl w:val="0E6CB7D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70E37D9"/>
    <w:multiLevelType w:val="hybridMultilevel"/>
    <w:tmpl w:val="90487C7E"/>
    <w:lvl w:ilvl="0" w:tplc="65EC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6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F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A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B949FF"/>
    <w:multiLevelType w:val="hybridMultilevel"/>
    <w:tmpl w:val="FB8E2114"/>
    <w:lvl w:ilvl="0" w:tplc="559CC9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639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C1E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EA6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4D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059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C8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CF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ACF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6A0F33"/>
    <w:multiLevelType w:val="hybridMultilevel"/>
    <w:tmpl w:val="A0A6AFE4"/>
    <w:lvl w:ilvl="0" w:tplc="4488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7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4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A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0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9C6FF5"/>
    <w:multiLevelType w:val="hybridMultilevel"/>
    <w:tmpl w:val="A4F2406E"/>
    <w:lvl w:ilvl="0" w:tplc="A6024990">
      <w:start w:val="1"/>
      <w:numFmt w:val="upperLetter"/>
      <w:lvlText w:val="%1-"/>
      <w:lvlJc w:val="left"/>
      <w:pPr>
        <w:ind w:left="-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7391FAA"/>
    <w:multiLevelType w:val="hybridMultilevel"/>
    <w:tmpl w:val="0AFCB8BC"/>
    <w:lvl w:ilvl="0" w:tplc="95F0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C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6E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4322E"/>
    <w:multiLevelType w:val="hybridMultilevel"/>
    <w:tmpl w:val="984E94DA"/>
    <w:lvl w:ilvl="0" w:tplc="E19CC4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38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F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A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DC"/>
    <w:rsid w:val="00050357"/>
    <w:rsid w:val="001C1E67"/>
    <w:rsid w:val="0032598D"/>
    <w:rsid w:val="00355F27"/>
    <w:rsid w:val="00466BAA"/>
    <w:rsid w:val="005751F7"/>
    <w:rsid w:val="006510DC"/>
    <w:rsid w:val="008B3A41"/>
    <w:rsid w:val="0098145F"/>
    <w:rsid w:val="00AF0440"/>
    <w:rsid w:val="00B31BEE"/>
    <w:rsid w:val="00E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67"/>
  </w:style>
  <w:style w:type="paragraph" w:styleId="Pieddepage">
    <w:name w:val="footer"/>
    <w:basedOn w:val="Normal"/>
    <w:link w:val="Pieddepag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67"/>
  </w:style>
  <w:style w:type="paragraph" w:styleId="Pieddepage">
    <w:name w:val="footer"/>
    <w:basedOn w:val="Normal"/>
    <w:link w:val="Pieddepag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7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9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2A99-93F5-4CC3-9B0A-530739A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Neila</cp:lastModifiedBy>
  <cp:revision>2</cp:revision>
  <cp:lastPrinted>2016-10-25T11:04:00Z</cp:lastPrinted>
  <dcterms:created xsi:type="dcterms:W3CDTF">2016-10-27T19:02:00Z</dcterms:created>
  <dcterms:modified xsi:type="dcterms:W3CDTF">2016-10-27T19:02:00Z</dcterms:modified>
</cp:coreProperties>
</file>