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69" w:rsidRPr="003E701B" w:rsidRDefault="00577815" w:rsidP="00577815">
      <w:pPr>
        <w:pStyle w:val="Sansinterligne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thick"/>
        </w:rPr>
        <w:t>Conférence d’enseignement gradué (module de Pneumologie)</w:t>
      </w:r>
      <w:r w:rsidR="00581269" w:rsidRPr="003E701B">
        <w:rPr>
          <w:rFonts w:asciiTheme="minorHAnsi" w:hAnsiTheme="minorHAnsi"/>
          <w:sz w:val="32"/>
          <w:szCs w:val="32"/>
        </w:rPr>
        <w:t xml:space="preserve">              </w:t>
      </w:r>
    </w:p>
    <w:p w:rsidR="00581269" w:rsidRDefault="00581269" w:rsidP="0098622D">
      <w:pPr>
        <w:pStyle w:val="Sansinterligne"/>
        <w:jc w:val="both"/>
        <w:rPr>
          <w:rFonts w:asciiTheme="minorHAnsi" w:hAnsiTheme="minorHAnsi"/>
        </w:rPr>
      </w:pPr>
    </w:p>
    <w:p w:rsidR="001E2BD7" w:rsidRPr="003E701B" w:rsidRDefault="001E2BD7" w:rsidP="0098622D">
      <w:pPr>
        <w:pStyle w:val="Sansinterligne"/>
        <w:jc w:val="both"/>
        <w:rPr>
          <w:rFonts w:asciiTheme="minorHAnsi" w:hAnsiTheme="minorHAnsi"/>
        </w:rPr>
      </w:pPr>
    </w:p>
    <w:tbl>
      <w:tblPr>
        <w:tblW w:w="8317" w:type="dxa"/>
        <w:jc w:val="righ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EEECE1" w:themeFill="background2"/>
        <w:tblCellMar>
          <w:left w:w="70" w:type="dxa"/>
          <w:right w:w="70" w:type="dxa"/>
        </w:tblCellMar>
        <w:tblLook w:val="0000"/>
      </w:tblPr>
      <w:tblGrid>
        <w:gridCol w:w="8317"/>
      </w:tblGrid>
      <w:tr w:rsidR="00581269" w:rsidRPr="003E701B" w:rsidTr="003E701B">
        <w:trPr>
          <w:trHeight w:val="591"/>
          <w:jc w:val="right"/>
        </w:trPr>
        <w:tc>
          <w:tcPr>
            <w:tcW w:w="8317" w:type="dxa"/>
            <w:shd w:val="clear" w:color="auto" w:fill="EEECE1" w:themeFill="background2"/>
          </w:tcPr>
          <w:p w:rsidR="00581269" w:rsidRPr="003E701B" w:rsidRDefault="008004F1" w:rsidP="00577815">
            <w:pPr>
              <w:pStyle w:val="Sansinterligne"/>
              <w:jc w:val="center"/>
              <w:rPr>
                <w:rFonts w:asciiTheme="minorHAnsi" w:hAnsiTheme="minorHAnsi"/>
              </w:rPr>
            </w:pPr>
            <w:r w:rsidRPr="008004F1">
              <w:rPr>
                <w:rFonts w:asciiTheme="minorHAnsi" w:eastAsia="Arial Unicode MS" w:hAnsiTheme="minorHAnsi" w:cs="Arial Unicode MS"/>
                <w:b/>
                <w:sz w:val="36"/>
                <w:szCs w:val="36"/>
              </w:rPr>
              <w:t>LA MILIAIRE TUBERCULEUSE</w:t>
            </w:r>
          </w:p>
        </w:tc>
      </w:tr>
    </w:tbl>
    <w:p w:rsidR="00581269" w:rsidRPr="003E701B" w:rsidRDefault="00581269" w:rsidP="0098622D">
      <w:pPr>
        <w:pStyle w:val="Sansinterligne"/>
        <w:jc w:val="both"/>
        <w:rPr>
          <w:rFonts w:asciiTheme="minorHAnsi" w:hAnsiTheme="minorHAnsi"/>
          <w:szCs w:val="24"/>
        </w:rPr>
      </w:pPr>
    </w:p>
    <w:p w:rsidR="00581269" w:rsidRPr="003E701B" w:rsidRDefault="00581269" w:rsidP="0098622D">
      <w:pPr>
        <w:pStyle w:val="Sansinterligne"/>
        <w:jc w:val="both"/>
        <w:rPr>
          <w:rFonts w:asciiTheme="minorHAnsi" w:hAnsiTheme="minorHAnsi"/>
          <w:szCs w:val="24"/>
        </w:rPr>
      </w:pPr>
      <w:r w:rsidRPr="003E701B">
        <w:rPr>
          <w:rFonts w:asciiTheme="minorHAnsi" w:hAnsiTheme="minorHAnsi"/>
          <w:szCs w:val="24"/>
        </w:rPr>
        <w:t>Année 2015 – 2016</w:t>
      </w:r>
    </w:p>
    <w:p w:rsidR="00581269" w:rsidRPr="003E701B" w:rsidRDefault="00581269" w:rsidP="0098622D">
      <w:pPr>
        <w:pStyle w:val="Sansinterligne"/>
        <w:jc w:val="both"/>
        <w:rPr>
          <w:rFonts w:asciiTheme="minorHAnsi" w:hAnsiTheme="minorHAnsi"/>
          <w:szCs w:val="24"/>
        </w:rPr>
      </w:pPr>
      <w:r w:rsidRPr="003E701B">
        <w:rPr>
          <w:rFonts w:asciiTheme="minorHAnsi" w:hAnsiTheme="minorHAnsi"/>
          <w:szCs w:val="24"/>
        </w:rPr>
        <w:t>Dr M.HADJADJ-AOUL</w:t>
      </w:r>
    </w:p>
    <w:p w:rsidR="00581269" w:rsidRPr="00675BF0" w:rsidRDefault="00581269" w:rsidP="0098622D">
      <w:pPr>
        <w:pStyle w:val="Sansinterligne"/>
        <w:jc w:val="both"/>
      </w:pPr>
    </w:p>
    <w:p w:rsidR="00577815" w:rsidRPr="008004F1" w:rsidRDefault="00581269" w:rsidP="008004F1">
      <w:pPr>
        <w:pStyle w:val="Default"/>
        <w:jc w:val="both"/>
        <w:rPr>
          <w:rFonts w:asciiTheme="minorHAnsi" w:hAnsiTheme="minorHAnsi" w:cs="Cambria"/>
          <w:b/>
          <w:bCs/>
          <w:sz w:val="36"/>
          <w:szCs w:val="36"/>
        </w:rPr>
      </w:pPr>
      <w:r w:rsidRPr="00581269">
        <w:rPr>
          <w:rFonts w:asciiTheme="minorHAnsi" w:hAnsiTheme="minorHAnsi" w:cs="Cambria"/>
          <w:b/>
          <w:bCs/>
          <w:sz w:val="36"/>
          <w:szCs w:val="36"/>
        </w:rPr>
        <w:t>Sommaire</w:t>
      </w:r>
    </w:p>
    <w:p w:rsidR="008004F1" w:rsidRPr="008004F1" w:rsidRDefault="008004F1" w:rsidP="008004F1">
      <w:pPr>
        <w:pStyle w:val="Default"/>
        <w:numPr>
          <w:ilvl w:val="0"/>
          <w:numId w:val="18"/>
        </w:numPr>
        <w:ind w:left="426" w:hanging="284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DEFINITION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II. INTERET DE LA QUESTION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III. PATHOGENIE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A. VOIE HEMATOGENE: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B. VOIE BRONCHOGENE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C. VOIE LYMPHATIQUE (MILLIAIRE TORPIDE) : très rare.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IV. DIAGNOSTIC POSITIF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A. CIRCONSTANCE DE DECOUVERTE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B. CLINIQUE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1. l’interrogatoire 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2. Examen physique et pauvre, en générale on retrouve :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C. EXAMENS COMPLEMENTAIRES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1. Le cliché radiographique thoracique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2. Signes biologiques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3. Signes bactériologiques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4. Anatomopathologie: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D. BILANS DE DISSEMINATION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V. FORMES CLINIQUES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1. Formes chroniques froides de tuberculose miliaire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2. Forme suffocante (tableau SDRA).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3. Forme catarrhale 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VI. DIAGNOSTIC DIFFERENTIEL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A. MILIAIRES CHAUDES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B. MILIAIRES FROIDES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VII. EVOLUTION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VIII. COMPLICATIONS</w:t>
      </w:r>
    </w:p>
    <w:p w:rsidR="008004F1" w:rsidRPr="008004F1" w:rsidRDefault="008004F1" w:rsidP="008004F1">
      <w:pPr>
        <w:pStyle w:val="Default"/>
        <w:ind w:left="1418" w:hanging="1276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004F1">
        <w:rPr>
          <w:rFonts w:asciiTheme="minorHAnsi" w:hAnsiTheme="minorHAnsi" w:cstheme="minorBidi"/>
          <w:b/>
          <w:bCs/>
          <w:color w:val="auto"/>
          <w:sz w:val="28"/>
          <w:szCs w:val="28"/>
        </w:rPr>
        <w:t>IX. TRAITEMENT</w:t>
      </w:r>
    </w:p>
    <w:p w:rsidR="004D40CD" w:rsidRDefault="004D40CD" w:rsidP="00984AB4">
      <w:pPr>
        <w:pStyle w:val="Default"/>
        <w:jc w:val="both"/>
        <w:rPr>
          <w:rFonts w:asciiTheme="minorHAnsi" w:hAnsiTheme="minorHAnsi" w:cs="Cambria"/>
          <w:b/>
          <w:bCs/>
        </w:rPr>
      </w:pPr>
    </w:p>
    <w:p w:rsidR="004D40CD" w:rsidRDefault="004D40CD" w:rsidP="00984AB4">
      <w:pPr>
        <w:pStyle w:val="Default"/>
        <w:jc w:val="both"/>
        <w:rPr>
          <w:rFonts w:asciiTheme="minorHAnsi" w:hAnsiTheme="minorHAnsi" w:cs="Cambria"/>
          <w:b/>
          <w:bCs/>
        </w:rPr>
      </w:pPr>
    </w:p>
    <w:p w:rsidR="004D40CD" w:rsidRDefault="004D40CD" w:rsidP="00984AB4">
      <w:pPr>
        <w:pStyle w:val="Default"/>
        <w:jc w:val="both"/>
        <w:rPr>
          <w:rFonts w:asciiTheme="minorHAnsi" w:hAnsiTheme="minorHAnsi" w:cs="Cambria"/>
          <w:b/>
          <w:bCs/>
        </w:rPr>
      </w:pPr>
    </w:p>
    <w:p w:rsidR="004D40CD" w:rsidRDefault="004D40CD" w:rsidP="00984AB4">
      <w:pPr>
        <w:pStyle w:val="Default"/>
        <w:jc w:val="both"/>
        <w:rPr>
          <w:rFonts w:asciiTheme="minorHAnsi" w:hAnsiTheme="minorHAnsi" w:cs="Cambria"/>
          <w:b/>
          <w:bCs/>
        </w:rPr>
      </w:pPr>
    </w:p>
    <w:tbl>
      <w:tblPr>
        <w:tblW w:w="0" w:type="auto"/>
        <w:tblInd w:w="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1"/>
      </w:tblGrid>
      <w:tr w:rsidR="008004F1" w:rsidTr="008004F1">
        <w:trPr>
          <w:trHeight w:val="532"/>
        </w:trPr>
        <w:tc>
          <w:tcPr>
            <w:tcW w:w="4731" w:type="dxa"/>
          </w:tcPr>
          <w:p w:rsidR="008004F1" w:rsidRDefault="008004F1" w:rsidP="008004F1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36"/>
                <w:szCs w:val="36"/>
              </w:rPr>
            </w:pPr>
            <w:r w:rsidRPr="008004F1">
              <w:rPr>
                <w:rFonts w:asciiTheme="minorHAnsi" w:eastAsia="Arial Unicode MS" w:hAnsiTheme="minorHAnsi" w:cs="Arial Unicode MS"/>
                <w:b/>
                <w:sz w:val="36"/>
                <w:szCs w:val="36"/>
              </w:rPr>
              <w:lastRenderedPageBreak/>
              <w:t>LA MILIAIRE TUBERCULEUSE</w:t>
            </w:r>
          </w:p>
        </w:tc>
      </w:tr>
    </w:tbl>
    <w:p w:rsidR="008004F1" w:rsidRDefault="008004F1" w:rsidP="008004F1">
      <w:pPr>
        <w:pStyle w:val="Default"/>
        <w:rPr>
          <w:rFonts w:cs="Cambria"/>
          <w:b/>
          <w:bCs/>
          <w:sz w:val="32"/>
          <w:szCs w:val="32"/>
        </w:rPr>
      </w:pPr>
    </w:p>
    <w:p w:rsidR="002A3848" w:rsidRDefault="002A3848" w:rsidP="008004F1">
      <w:pPr>
        <w:pStyle w:val="Default"/>
        <w:rPr>
          <w:rFonts w:cs="Cambria"/>
          <w:b/>
          <w:bCs/>
          <w:sz w:val="32"/>
          <w:szCs w:val="32"/>
        </w:rPr>
      </w:pPr>
    </w:p>
    <w:p w:rsidR="008004F1" w:rsidRPr="008004F1" w:rsidRDefault="008004F1" w:rsidP="008004F1">
      <w:pPr>
        <w:pStyle w:val="Default"/>
        <w:numPr>
          <w:ilvl w:val="0"/>
          <w:numId w:val="19"/>
        </w:numPr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8004F1">
        <w:rPr>
          <w:rFonts w:asciiTheme="minorHAnsi" w:hAnsiTheme="minorHAnsi" w:cs="Cambria"/>
          <w:b/>
          <w:bCs/>
        </w:rPr>
        <w:t>DEFINITION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La définition purement radiologique : dissémination dans les deux champs pulmonaires de fines opacités micronodulaires ayant la taille d'un grain de mil (1,5 à 3 mm).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La constatation de telles images signifie en fait que des lésions micronodulaires atteignent simultanément d'autres organes.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8004F1">
        <w:rPr>
          <w:rFonts w:asciiTheme="minorHAnsi" w:hAnsiTheme="minorHAnsi" w:cs="Cambria"/>
          <w:b/>
          <w:bCs/>
        </w:rPr>
        <w:t>II. INTERET DE LA QUESTION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Fréquence est faible par rapport aux autres formes de TBC (3% de l’ensemble des localisations de la maladie).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La gravité est liée aux formes aiguës asphyxiques (mort) et la dissémination viscérale (surtout méningée).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Diagnostic, souvent difficile en raison du polymorphisme clinique et surtout du retard RX (parfois 3 semaines) sur la clinique.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  <w:lang w:val="en-US"/>
        </w:rPr>
      </w:pPr>
      <w:r w:rsidRPr="008004F1">
        <w:rPr>
          <w:rFonts w:asciiTheme="minorHAnsi" w:hAnsiTheme="minorHAnsi" w:cs="Cambria"/>
          <w:b/>
          <w:bCs/>
          <w:lang w:val="en-US"/>
        </w:rPr>
        <w:t>III. PATHOGENIE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  <w:lang w:val="en-US"/>
        </w:rPr>
      </w:pPr>
      <w:r w:rsidRPr="008004F1">
        <w:rPr>
          <w:rFonts w:asciiTheme="minorHAnsi" w:hAnsiTheme="minorHAnsi" w:cs="Cambria"/>
          <w:b/>
          <w:bCs/>
          <w:lang w:val="en-US"/>
        </w:rPr>
        <w:t>A. VOIE HEMATOGENE: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 xml:space="preserve">Le plus souvent, la généralisation bacillaire se fait par voie hématogène à la faveur d’une érosion vasculaire à partir du foyer initial (lésion </w:t>
      </w:r>
      <w:proofErr w:type="spellStart"/>
      <w:r w:rsidRPr="008004F1">
        <w:rPr>
          <w:rFonts w:asciiTheme="minorHAnsi" w:hAnsiTheme="minorHAnsi" w:cs="Cambria"/>
        </w:rPr>
        <w:t>ganglio</w:t>
      </w:r>
      <w:proofErr w:type="spellEnd"/>
      <w:r w:rsidRPr="008004F1">
        <w:rPr>
          <w:rFonts w:asciiTheme="minorHAnsi" w:hAnsiTheme="minorHAnsi" w:cs="Cambria"/>
        </w:rPr>
        <w:t>-pulmonaire de primo-infection, rarement à partir d’une lésion de réinfection endogène).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8004F1">
        <w:rPr>
          <w:rFonts w:asciiTheme="minorHAnsi" w:hAnsiTheme="minorHAnsi" w:cs="Cambria"/>
          <w:b/>
          <w:bCs/>
        </w:rPr>
        <w:t>B. VOIE BRONCHOGENE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 xml:space="preserve">Elle est plus rare, et dans ce cas il s’agit d’une dissémination bronchique par rupture dans la bronche d’un foyer tuberculeux (adénopathie </w:t>
      </w:r>
      <w:proofErr w:type="spellStart"/>
      <w:r w:rsidRPr="008004F1">
        <w:rPr>
          <w:rFonts w:asciiTheme="minorHAnsi" w:hAnsiTheme="minorHAnsi" w:cs="Cambria"/>
        </w:rPr>
        <w:t>fistulsée</w:t>
      </w:r>
      <w:proofErr w:type="spellEnd"/>
      <w:r w:rsidRPr="008004F1">
        <w:rPr>
          <w:rFonts w:asciiTheme="minorHAnsi" w:hAnsiTheme="minorHAnsi" w:cs="Cambria"/>
        </w:rPr>
        <w:t xml:space="preserve">, caverne pleine de BK) suivit d’une diffusion du BK dans le poumon. </w:t>
      </w:r>
      <w:proofErr w:type="gramStart"/>
      <w:r w:rsidRPr="008004F1">
        <w:rPr>
          <w:rFonts w:asciiTheme="minorHAnsi" w:hAnsiTheme="minorHAnsi" w:cs="Cambria"/>
        </w:rPr>
        <w:t>La</w:t>
      </w:r>
      <w:proofErr w:type="gramEnd"/>
      <w:r w:rsidRPr="008004F1">
        <w:rPr>
          <w:rFonts w:asciiTheme="minorHAnsi" w:hAnsiTheme="minorHAnsi" w:cs="Cambria"/>
        </w:rPr>
        <w:t xml:space="preserve"> milliaire est souvent localisée à un poumon.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8004F1">
        <w:rPr>
          <w:rFonts w:asciiTheme="minorHAnsi" w:hAnsiTheme="minorHAnsi" w:cs="Cambria"/>
          <w:b/>
          <w:bCs/>
        </w:rPr>
        <w:t>C. VOIE LYMPHATIQUE (MILLIAIRE TORPIDE) : très rare.</w:t>
      </w:r>
    </w:p>
    <w:p w:rsidR="008004F1" w:rsidRPr="002A3848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lastRenderedPageBreak/>
        <w:t>IV. DIAGNOSTIC POSITIF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A. CIRCONSTANCE DE DECOUVERTE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Souvent la symptomatologie est riche, associant de façon variable :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Une fièvre élevée (39 - 40</w:t>
      </w:r>
      <w:r w:rsidRPr="008004F1">
        <w:rPr>
          <w:rFonts w:asciiTheme="minorHAnsi" w:hAnsiTheme="minorHAnsi" w:cs="Cambria"/>
          <w:vertAlign w:val="superscript"/>
        </w:rPr>
        <w:t>0</w:t>
      </w:r>
      <w:r w:rsidRPr="008004F1">
        <w:rPr>
          <w:rFonts w:asciiTheme="minorHAnsi" w:hAnsiTheme="minorHAnsi" w:cs="Cambria"/>
        </w:rPr>
        <w:t>C), permanente, marquée parfois par de grandes oscillations dans la journée. Elle est curieusement bien tolérée (du moins au début) ;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 xml:space="preserve">- Une dyspnée inconstante mais chez certains patients elle peut prendre un caractère dramatique évoluant ainsi vers un authentique syndrome de détresse respiratoire de l'adulte imposant une ventilation assistée (forme </w:t>
      </w:r>
      <w:proofErr w:type="spellStart"/>
      <w:r w:rsidRPr="008004F1">
        <w:rPr>
          <w:rFonts w:asciiTheme="minorHAnsi" w:hAnsiTheme="minorHAnsi" w:cs="Cambria"/>
        </w:rPr>
        <w:t>hypoxémiante</w:t>
      </w:r>
      <w:proofErr w:type="spellEnd"/>
      <w:r w:rsidRPr="008004F1">
        <w:rPr>
          <w:rFonts w:asciiTheme="minorHAnsi" w:hAnsiTheme="minorHAnsi" w:cs="Cambria"/>
        </w:rPr>
        <w:t xml:space="preserve"> de </w:t>
      </w:r>
      <w:proofErr w:type="spellStart"/>
      <w:r w:rsidRPr="008004F1">
        <w:rPr>
          <w:rFonts w:asciiTheme="minorHAnsi" w:hAnsiTheme="minorHAnsi" w:cs="Cambria"/>
        </w:rPr>
        <w:t>Jaccoud</w:t>
      </w:r>
      <w:proofErr w:type="spellEnd"/>
      <w:r w:rsidRPr="008004F1">
        <w:rPr>
          <w:rFonts w:asciiTheme="minorHAnsi" w:hAnsiTheme="minorHAnsi" w:cs="Cambria"/>
        </w:rPr>
        <w:t>) ;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Une asthénie, anorexie, amaigrissement et une pâleur (souvent très marqués).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Des signes digestifs : nausées, vomissements, diarrhées, douleurs abdominales.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Rarement la symptomatologie est moins riche et le diagnostic est posé par une RX systématique demandée devant une altération de l’état général persistante.</w:t>
      </w:r>
    </w:p>
    <w:p w:rsidR="008004F1" w:rsidRPr="008004F1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Enfin, la miliaire peut être découverte à l’occasion d’une localisation tuberculeuse extra pulmonaire.</w:t>
      </w:r>
    </w:p>
    <w:p w:rsidR="008004F1" w:rsidRPr="002A3848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B. CLINIQUE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  <w:i/>
          <w:iCs/>
        </w:rPr>
      </w:pPr>
      <w:r w:rsidRPr="002A3848">
        <w:rPr>
          <w:rFonts w:asciiTheme="minorHAnsi" w:hAnsiTheme="minorHAnsi" w:cs="Cambria"/>
          <w:b/>
          <w:bCs/>
          <w:i/>
          <w:iCs/>
        </w:rPr>
        <w:t>1. On recherche, par l’interrogatoire des signes en faveur d’une tuberculose :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notion de contage,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contexte immunodéprimés (post-partum, traitement corticoïdes, VIH),</w:t>
      </w:r>
    </w:p>
    <w:p w:rsidR="008004F1" w:rsidRPr="008004F1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vaccination par le BCG.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  <w:i/>
          <w:iCs/>
        </w:rPr>
      </w:pPr>
      <w:r w:rsidRPr="002A3848">
        <w:rPr>
          <w:rFonts w:asciiTheme="minorHAnsi" w:hAnsiTheme="minorHAnsi" w:cs="Cambria"/>
          <w:b/>
          <w:bCs/>
          <w:i/>
          <w:iCs/>
        </w:rPr>
        <w:t>2. Examen physique et pauvre, en générale on retrouve :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parfois une HPMG et/ou SPMG,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Respiration superficielle, avec un pouls accéléré, et Parfois une cyanose.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L’auscultation peut être normale, ailleurs elle retrouve quelques crépitations diffuses ou bruits de tempête (râles bulleux, sibilants et ronflants),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Signes d’épanchement pleural liquidien modéré.</w:t>
      </w:r>
    </w:p>
    <w:p w:rsidR="008004F1" w:rsidRPr="008004F1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Enfin, l’examen recherchera des signes de diffusion méningée, péricardique, péritonéale, osseuse, génito-urinaire  et  laryngée.</w:t>
      </w:r>
    </w:p>
    <w:p w:rsidR="008004F1" w:rsidRPr="002A3848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lastRenderedPageBreak/>
        <w:t>C. EXAMENS COMPLEMENTAIRES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1. Le cliché radiographique thoracique</w:t>
      </w:r>
    </w:p>
    <w:p w:rsidR="008004F1" w:rsidRPr="008004F1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 xml:space="preserve">Le cliché radiographique doit être d'excellente qualité, les micronodules de </w:t>
      </w:r>
      <w:proofErr w:type="gramStart"/>
      <w:r w:rsidRPr="008004F1">
        <w:rPr>
          <w:rFonts w:asciiTheme="minorHAnsi" w:hAnsiTheme="minorHAnsi" w:cs="Cambria"/>
        </w:rPr>
        <w:t>taille égales</w:t>
      </w:r>
      <w:proofErr w:type="gramEnd"/>
      <w:r w:rsidRPr="008004F1">
        <w:rPr>
          <w:rFonts w:asciiTheme="minorHAnsi" w:hAnsiTheme="minorHAnsi" w:cs="Cambria"/>
        </w:rPr>
        <w:t xml:space="preserve"> de 0.5 à 3 mm de diamètre « en grains de mille » disséminés et nettement isolées les unes des autres dans la forme typique. Avec le temps elles peuvent confluer par endroits.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2. Signes biologiques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La VS est très accélérée, supérieure à 100 à la première heure ;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Si l'atteinte médullaire est importante, il peut exister une anémie.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NFS : leuco neutropénie classique et parfois apparaissent une hyper lymphocytose ;</w:t>
      </w:r>
    </w:p>
    <w:p w:rsidR="008004F1" w:rsidRPr="008004F1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 xml:space="preserve">- La PL peut traduire une participation méningée : </w:t>
      </w:r>
      <w:proofErr w:type="spellStart"/>
      <w:r w:rsidRPr="008004F1">
        <w:rPr>
          <w:rFonts w:asciiTheme="minorHAnsi" w:hAnsiTheme="minorHAnsi" w:cs="Cambria"/>
        </w:rPr>
        <w:t>hyperalbuminorachie</w:t>
      </w:r>
      <w:proofErr w:type="spellEnd"/>
      <w:r w:rsidRPr="008004F1">
        <w:rPr>
          <w:rFonts w:asciiTheme="minorHAnsi" w:hAnsiTheme="minorHAnsi" w:cs="Cambria"/>
        </w:rPr>
        <w:t xml:space="preserve"> modeste, </w:t>
      </w:r>
      <w:proofErr w:type="spellStart"/>
      <w:r w:rsidRPr="008004F1">
        <w:rPr>
          <w:rFonts w:asciiTheme="minorHAnsi" w:hAnsiTheme="minorHAnsi" w:cs="Cambria"/>
        </w:rPr>
        <w:t>hypochlorurachie</w:t>
      </w:r>
      <w:proofErr w:type="spellEnd"/>
      <w:r w:rsidRPr="008004F1">
        <w:rPr>
          <w:rFonts w:asciiTheme="minorHAnsi" w:hAnsiTheme="minorHAnsi" w:cs="Cambria"/>
        </w:rPr>
        <w:t xml:space="preserve"> et lymphocytose. La mise en culture du LCR est peu productive ;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3. Signes bactériologiques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L’intradermo-réaction est souvent paradoxalement négative.</w:t>
      </w:r>
    </w:p>
    <w:p w:rsidR="008004F1" w:rsidRPr="002A3848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 xml:space="preserve">La recherche directe du BK est rarement positive (crachats, par tubage gastrique, </w:t>
      </w:r>
      <w:proofErr w:type="spellStart"/>
      <w:r w:rsidRPr="008004F1">
        <w:rPr>
          <w:rFonts w:asciiTheme="minorHAnsi" w:hAnsiTheme="minorHAnsi" w:cs="Cambria"/>
        </w:rPr>
        <w:t>fibro</w:t>
      </w:r>
      <w:proofErr w:type="spellEnd"/>
      <w:r w:rsidRPr="008004F1">
        <w:rPr>
          <w:rFonts w:asciiTheme="minorHAnsi" w:hAnsiTheme="minorHAnsi" w:cs="Cambria"/>
        </w:rPr>
        <w:t xml:space="preserve">-aspiration). 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4. Anatomopathologie:</w:t>
      </w:r>
    </w:p>
    <w:p w:rsidR="008004F1" w:rsidRPr="008004F1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 xml:space="preserve">Les biopsies pleurales (en cas d’épanchement associé), les biopsies hépatiques peuvent objectiver le follicule </w:t>
      </w:r>
      <w:proofErr w:type="spellStart"/>
      <w:r w:rsidRPr="008004F1">
        <w:rPr>
          <w:rFonts w:asciiTheme="minorHAnsi" w:hAnsiTheme="minorHAnsi" w:cs="Cambria"/>
        </w:rPr>
        <w:t>épithélio</w:t>
      </w:r>
      <w:proofErr w:type="spellEnd"/>
      <w:r w:rsidRPr="008004F1">
        <w:rPr>
          <w:rFonts w:asciiTheme="minorHAnsi" w:hAnsiTheme="minorHAnsi" w:cs="Cambria"/>
        </w:rPr>
        <w:t xml:space="preserve">-gigantocellulaire avec nécrose caséeuse. </w:t>
      </w:r>
    </w:p>
    <w:p w:rsidR="008004F1" w:rsidRPr="002A3848" w:rsidRDefault="002A3848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D. BILAN</w:t>
      </w:r>
      <w:r w:rsidR="008004F1" w:rsidRPr="002A3848">
        <w:rPr>
          <w:rFonts w:asciiTheme="minorHAnsi" w:hAnsiTheme="minorHAnsi" w:cs="Cambria"/>
          <w:b/>
          <w:bCs/>
        </w:rPr>
        <w:t xml:space="preserve"> DE DISSEMINATION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Aux niveaux des méninges, intérêt de la ponction lombaire (PL) systématique.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 xml:space="preserve">- Aux niveaux du foie, la ponction-biopsie hépatique lorsqu'elle est possible apporte parfois le  diagnostic anatomopathologique 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Aux niveaux des reins, la recherche du BK dans les urines systématique (</w:t>
      </w:r>
      <w:proofErr w:type="spellStart"/>
      <w:r w:rsidRPr="008004F1">
        <w:rPr>
          <w:rFonts w:asciiTheme="minorHAnsi" w:hAnsiTheme="minorHAnsi" w:cs="Cambria"/>
        </w:rPr>
        <w:t>uroculture</w:t>
      </w:r>
      <w:proofErr w:type="spellEnd"/>
      <w:r w:rsidRPr="008004F1">
        <w:rPr>
          <w:rFonts w:asciiTheme="minorHAnsi" w:hAnsiTheme="minorHAnsi" w:cs="Cambria"/>
        </w:rPr>
        <w:t>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Au niveau de l’</w:t>
      </w:r>
      <w:proofErr w:type="spellStart"/>
      <w:r w:rsidRPr="008004F1">
        <w:rPr>
          <w:rFonts w:asciiTheme="minorHAnsi" w:hAnsiTheme="minorHAnsi" w:cs="Cambria"/>
        </w:rPr>
        <w:t>oeil</w:t>
      </w:r>
      <w:proofErr w:type="spellEnd"/>
      <w:r w:rsidRPr="008004F1">
        <w:rPr>
          <w:rFonts w:asciiTheme="minorHAnsi" w:hAnsiTheme="minorHAnsi" w:cs="Cambria"/>
        </w:rPr>
        <w:t xml:space="preserve">, les tubercules choroïdiens de </w:t>
      </w:r>
      <w:proofErr w:type="spellStart"/>
      <w:r w:rsidRPr="008004F1">
        <w:rPr>
          <w:rFonts w:asciiTheme="minorHAnsi" w:hAnsiTheme="minorHAnsi" w:cs="Cambria"/>
        </w:rPr>
        <w:t>Bochut</w:t>
      </w:r>
      <w:proofErr w:type="spellEnd"/>
      <w:r w:rsidRPr="008004F1">
        <w:rPr>
          <w:rFonts w:asciiTheme="minorHAnsi" w:hAnsiTheme="minorHAnsi" w:cs="Cambria"/>
        </w:rPr>
        <w:t xml:space="preserve"> sont inconstamment retrouvés.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 xml:space="preserve">- Au niveau de la moelle osseuse (intérêt des </w:t>
      </w:r>
      <w:proofErr w:type="spellStart"/>
      <w:r w:rsidRPr="008004F1">
        <w:rPr>
          <w:rFonts w:asciiTheme="minorHAnsi" w:hAnsiTheme="minorHAnsi" w:cs="Cambria"/>
        </w:rPr>
        <w:t>myélocultures</w:t>
      </w:r>
      <w:proofErr w:type="spellEnd"/>
      <w:r w:rsidRPr="008004F1">
        <w:rPr>
          <w:rFonts w:asciiTheme="minorHAnsi" w:hAnsiTheme="minorHAnsi" w:cs="Cambria"/>
        </w:rPr>
        <w:t>) ;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lastRenderedPageBreak/>
        <w:t>- Au niveau des séreuses, la rate, enfin le sang lui-même ou l’hémoculture est parfois positive notamment chez les patients séropositifs pour le VIH.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</w:p>
    <w:p w:rsidR="008004F1" w:rsidRPr="002A3848" w:rsidRDefault="008004F1" w:rsidP="002A3848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V. FORMES CLINIQUES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Il est classique de distinguer :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1. Formes chroniques froides de tuberculose miliaire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Ces formes atteignent préférentiellement les vieillards ou les sujets défavorisés.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Ces formes sont rares et liées à une diffusion lymphatique ou aérienne. Il n'y a pas (ou peu) de fièvre mais l’altération de l’état général est progressive. A la radiologie, les lésions sont beaucoup moins typiques et les micronodules sont volontiers confluents et plus ou moins sectorisés.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2. Forme suffocante (tableau SDRA).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3. Forme catarrhale (toux +++, expectoration +++).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VI. DIAGNOSTIC DIFFERENTIEL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A. MILIAIRES CHAUDES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Autres miliaires infectieuses : bactériennes (staphylocoque, brucellose, pneumocoque), virales ou à germes apparentés (MNI, varicelles, mycoplasme), mycosiques, parasitaires (</w:t>
      </w:r>
      <w:proofErr w:type="spellStart"/>
      <w:r w:rsidRPr="008004F1">
        <w:rPr>
          <w:rFonts w:asciiTheme="minorHAnsi" w:hAnsiTheme="minorHAnsi" w:cs="Cambria"/>
        </w:rPr>
        <w:t>pneumocystis</w:t>
      </w:r>
      <w:proofErr w:type="spellEnd"/>
      <w:r w:rsidRPr="008004F1">
        <w:rPr>
          <w:rFonts w:asciiTheme="minorHAnsi" w:hAnsiTheme="minorHAnsi" w:cs="Cambria"/>
        </w:rPr>
        <w:t xml:space="preserve"> </w:t>
      </w:r>
      <w:proofErr w:type="spellStart"/>
      <w:r w:rsidRPr="008004F1">
        <w:rPr>
          <w:rFonts w:asciiTheme="minorHAnsi" w:hAnsiTheme="minorHAnsi" w:cs="Cambria"/>
        </w:rPr>
        <w:t>carinii</w:t>
      </w:r>
      <w:proofErr w:type="spellEnd"/>
      <w:r w:rsidRPr="008004F1">
        <w:rPr>
          <w:rFonts w:asciiTheme="minorHAnsi" w:hAnsiTheme="minorHAnsi" w:cs="Cambria"/>
        </w:rPr>
        <w:t>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Lymphangite carcinomateuse et hémopathie malignes.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Alvéolite allergique extrinsèque.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Connectivites (PAN, LED).</w:t>
      </w: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B. MILIAIRES FROIDES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Sarcoïdose.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Pneumoconiose (silicose).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Miliaires d’origine mécanique (OAP, poumon mitrale).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lastRenderedPageBreak/>
        <w:t>- Pneumopathies interstitielles diffuses (PID).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Connectivites.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Alvéolites allergiques extrinsèques au stade de fibrose.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VII. EVOLUTION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En absence du traitement, les miliaires chaudes évoluent vers la mort dans un tableau d’IRA.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Sous traitement (urgence thérapeutique), l’évolution est en règle favorable, si le dg et le traitement ont été mis à temps ; l’apyrexie et obtenue en 1 à 2 semaines et les images s’estampent en quelques semaines à quelque mois, évoluant rarement vers la calcification. L’évolution peut être défavorable du fait du retard du traitement et du terrain : très jeune enfant ou vieillard, immunodéprimé.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VIII. COMPLICATIONS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Dans l’immédiat : IRA.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Tardivement : IRC par fibrose, emphysème bulleux para cicatriciel.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Méningées : coma, comitialité.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Autres atteintes extra respiratoires graves.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</w:p>
    <w:p w:rsidR="008004F1" w:rsidRPr="002A3848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  <w:b/>
          <w:bCs/>
        </w:rPr>
      </w:pPr>
      <w:r w:rsidRPr="002A3848">
        <w:rPr>
          <w:rFonts w:asciiTheme="minorHAnsi" w:hAnsiTheme="minorHAnsi" w:cs="Cambria"/>
          <w:b/>
          <w:bCs/>
        </w:rPr>
        <w:t>IX. TRAITEMENT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Traitement d’urgence : oxygénothérapie, correction des troubles hydro électrolytique.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Traitement antituberculeux  le régime de la catégorie I </w:t>
      </w:r>
      <w:proofErr w:type="gramStart"/>
      <w:r w:rsidRPr="008004F1">
        <w:rPr>
          <w:rFonts w:asciiTheme="minorHAnsi" w:hAnsiTheme="minorHAnsi" w:cs="Cambria"/>
        </w:rPr>
        <w:t>:  2RHZE</w:t>
      </w:r>
      <w:proofErr w:type="gramEnd"/>
      <w:r w:rsidRPr="008004F1">
        <w:rPr>
          <w:rFonts w:asciiTheme="minorHAnsi" w:hAnsiTheme="minorHAnsi" w:cs="Cambria"/>
        </w:rPr>
        <w:t>/4RH</w:t>
      </w:r>
    </w:p>
    <w:p w:rsidR="008004F1" w:rsidRPr="008004F1" w:rsidRDefault="008004F1" w:rsidP="008004F1">
      <w:pPr>
        <w:pStyle w:val="Default"/>
        <w:spacing w:before="240" w:after="240" w:line="276" w:lineRule="auto"/>
        <w:jc w:val="both"/>
        <w:rPr>
          <w:rFonts w:asciiTheme="minorHAnsi" w:hAnsiTheme="minorHAnsi" w:cs="Cambria"/>
        </w:rPr>
      </w:pPr>
      <w:r w:rsidRPr="008004F1">
        <w:rPr>
          <w:rFonts w:asciiTheme="minorHAnsi" w:hAnsiTheme="minorHAnsi" w:cs="Cambria"/>
        </w:rPr>
        <w:t>- Corticoïdes : 1 à 2 mg/kg, en d</w:t>
      </w:r>
      <w:bookmarkStart w:id="0" w:name="_GoBack"/>
      <w:bookmarkEnd w:id="0"/>
      <w:r w:rsidRPr="008004F1">
        <w:rPr>
          <w:rFonts w:asciiTheme="minorHAnsi" w:hAnsiTheme="minorHAnsi" w:cs="Cambria"/>
        </w:rPr>
        <w:t xml:space="preserve">oses dégressives sur une durée de 4 à 6 semaines </w:t>
      </w:r>
    </w:p>
    <w:p w:rsidR="009A3194" w:rsidRDefault="009A3194" w:rsidP="008004F1">
      <w:pPr>
        <w:pStyle w:val="Default"/>
        <w:spacing w:before="240" w:after="240"/>
        <w:jc w:val="both"/>
        <w:rPr>
          <w:rFonts w:asciiTheme="minorHAnsi" w:hAnsiTheme="minorHAnsi" w:cs="Cambria"/>
          <w:b/>
          <w:bCs/>
          <w:sz w:val="32"/>
          <w:szCs w:val="32"/>
        </w:rPr>
      </w:pPr>
    </w:p>
    <w:sectPr w:rsidR="009A3194" w:rsidSect="00577815">
      <w:headerReference w:type="default" r:id="rId8"/>
      <w:footerReference w:type="default" r:id="rId9"/>
      <w:pgSz w:w="11906" w:h="16838"/>
      <w:pgMar w:top="61" w:right="1558" w:bottom="1134" w:left="1701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08" w:rsidRDefault="006A3F08" w:rsidP="003E701B">
      <w:pPr>
        <w:spacing w:after="0" w:line="240" w:lineRule="auto"/>
      </w:pPr>
      <w:r>
        <w:separator/>
      </w:r>
    </w:p>
    <w:p w:rsidR="006A3F08" w:rsidRDefault="006A3F08"/>
  </w:endnote>
  <w:endnote w:type="continuationSeparator" w:id="0">
    <w:p w:rsidR="006A3F08" w:rsidRDefault="006A3F08" w:rsidP="003E701B">
      <w:pPr>
        <w:spacing w:after="0" w:line="240" w:lineRule="auto"/>
      </w:pPr>
      <w:r>
        <w:continuationSeparator/>
      </w:r>
    </w:p>
    <w:p w:rsidR="006A3F08" w:rsidRDefault="006A3F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581"/>
      <w:docPartObj>
        <w:docPartGallery w:val="Page Numbers (Bottom of Page)"/>
        <w:docPartUnique/>
      </w:docPartObj>
    </w:sdtPr>
    <w:sdtContent>
      <w:p w:rsidR="00F848AF" w:rsidRDefault="00E9481F">
        <w:pPr>
          <w:pStyle w:val="Pieddepage"/>
          <w:jc w:val="right"/>
        </w:pPr>
        <w:fldSimple w:instr=" PAGE   \* MERGEFORMAT ">
          <w:r w:rsidR="001B3050">
            <w:rPr>
              <w:noProof/>
            </w:rPr>
            <w:t>2</w:t>
          </w:r>
        </w:fldSimple>
      </w:p>
    </w:sdtContent>
  </w:sdt>
  <w:p w:rsidR="004C3110" w:rsidRDefault="004C31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08" w:rsidRDefault="006A3F08" w:rsidP="003E701B">
      <w:pPr>
        <w:spacing w:after="0" w:line="240" w:lineRule="auto"/>
      </w:pPr>
      <w:r>
        <w:separator/>
      </w:r>
    </w:p>
    <w:p w:rsidR="006A3F08" w:rsidRDefault="006A3F08"/>
  </w:footnote>
  <w:footnote w:type="continuationSeparator" w:id="0">
    <w:p w:rsidR="006A3F08" w:rsidRDefault="006A3F08" w:rsidP="003E701B">
      <w:pPr>
        <w:spacing w:after="0" w:line="240" w:lineRule="auto"/>
      </w:pPr>
      <w:r>
        <w:continuationSeparator/>
      </w:r>
    </w:p>
    <w:p w:rsidR="006A3F08" w:rsidRDefault="006A3F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10" w:rsidRPr="003E701B" w:rsidRDefault="004C3110" w:rsidP="003E701B">
    <w:pPr>
      <w:pStyle w:val="En-tte"/>
      <w:pBdr>
        <w:bottom w:val="single" w:sz="4" w:space="1" w:color="auto"/>
      </w:pBdr>
      <w:jc w:val="right"/>
      <w:rPr>
        <w:i/>
        <w:iCs/>
      </w:rPr>
    </w:pPr>
    <w:r w:rsidRPr="003E701B">
      <w:rPr>
        <w:i/>
        <w:iCs/>
      </w:rPr>
      <w:t>Comité Pédagogique de Pneumo-phtisiologie</w:t>
    </w:r>
  </w:p>
  <w:p w:rsidR="004C3110" w:rsidRDefault="004C3110">
    <w:pPr>
      <w:pStyle w:val="En-tte"/>
    </w:pPr>
  </w:p>
  <w:p w:rsidR="004C3110" w:rsidRDefault="004C31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DD8"/>
    <w:multiLevelType w:val="hybridMultilevel"/>
    <w:tmpl w:val="FC84F5B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4F2B"/>
    <w:multiLevelType w:val="hybridMultilevel"/>
    <w:tmpl w:val="694CEFE8"/>
    <w:lvl w:ilvl="0" w:tplc="863C1B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33F6"/>
    <w:multiLevelType w:val="hybridMultilevel"/>
    <w:tmpl w:val="694CEFE8"/>
    <w:lvl w:ilvl="0" w:tplc="863C1B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7024"/>
    <w:multiLevelType w:val="hybridMultilevel"/>
    <w:tmpl w:val="E29E63F0"/>
    <w:lvl w:ilvl="0" w:tplc="58787B4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4223D2E"/>
    <w:multiLevelType w:val="hybridMultilevel"/>
    <w:tmpl w:val="70807622"/>
    <w:lvl w:ilvl="0" w:tplc="75BE87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5EA"/>
    <w:multiLevelType w:val="hybridMultilevel"/>
    <w:tmpl w:val="837473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4C7F"/>
    <w:multiLevelType w:val="hybridMultilevel"/>
    <w:tmpl w:val="F4C4C448"/>
    <w:lvl w:ilvl="0" w:tplc="489296B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971A5"/>
    <w:multiLevelType w:val="hybridMultilevel"/>
    <w:tmpl w:val="434287DA"/>
    <w:lvl w:ilvl="0" w:tplc="489296B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266BA"/>
    <w:multiLevelType w:val="hybridMultilevel"/>
    <w:tmpl w:val="70807622"/>
    <w:lvl w:ilvl="0" w:tplc="75BE87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F47C3"/>
    <w:multiLevelType w:val="hybridMultilevel"/>
    <w:tmpl w:val="9CACF670"/>
    <w:lvl w:ilvl="0" w:tplc="83F0F08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2E3243C"/>
    <w:multiLevelType w:val="hybridMultilevel"/>
    <w:tmpl w:val="FC84F5B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02CD6"/>
    <w:multiLevelType w:val="hybridMultilevel"/>
    <w:tmpl w:val="FF74D0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A5600"/>
    <w:multiLevelType w:val="hybridMultilevel"/>
    <w:tmpl w:val="068C8E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E46EC"/>
    <w:multiLevelType w:val="hybridMultilevel"/>
    <w:tmpl w:val="25581ADC"/>
    <w:lvl w:ilvl="0" w:tplc="83F0F08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54729"/>
    <w:multiLevelType w:val="hybridMultilevel"/>
    <w:tmpl w:val="6CCA2118"/>
    <w:lvl w:ilvl="0" w:tplc="83F0F08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27F51"/>
    <w:multiLevelType w:val="hybridMultilevel"/>
    <w:tmpl w:val="FF74D0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06575"/>
    <w:multiLevelType w:val="hybridMultilevel"/>
    <w:tmpl w:val="0D8AE226"/>
    <w:lvl w:ilvl="0" w:tplc="83F0F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F77CB"/>
    <w:multiLevelType w:val="hybridMultilevel"/>
    <w:tmpl w:val="080AAFB6"/>
    <w:lvl w:ilvl="0" w:tplc="83F0F08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832C3"/>
    <w:multiLevelType w:val="hybridMultilevel"/>
    <w:tmpl w:val="2A265BD6"/>
    <w:lvl w:ilvl="0" w:tplc="489296B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8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14"/>
  </w:num>
  <w:num w:numId="12">
    <w:abstractNumId w:val="17"/>
  </w:num>
  <w:num w:numId="13">
    <w:abstractNumId w:val="16"/>
  </w:num>
  <w:num w:numId="14">
    <w:abstractNumId w:val="15"/>
  </w:num>
  <w:num w:numId="15">
    <w:abstractNumId w:val="10"/>
  </w:num>
  <w:num w:numId="16">
    <w:abstractNumId w:val="8"/>
  </w:num>
  <w:num w:numId="17">
    <w:abstractNumId w:val="2"/>
  </w:num>
  <w:num w:numId="18">
    <w:abstractNumId w:val="5"/>
  </w:num>
  <w:num w:numId="19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C8"/>
    <w:rsid w:val="0000548D"/>
    <w:rsid w:val="00014CC8"/>
    <w:rsid w:val="00024DAC"/>
    <w:rsid w:val="00034CF5"/>
    <w:rsid w:val="0007167F"/>
    <w:rsid w:val="00107B84"/>
    <w:rsid w:val="00183FB4"/>
    <w:rsid w:val="001A5F32"/>
    <w:rsid w:val="001B3050"/>
    <w:rsid w:val="001E2BD7"/>
    <w:rsid w:val="0020477E"/>
    <w:rsid w:val="00261780"/>
    <w:rsid w:val="00286F2E"/>
    <w:rsid w:val="002A3848"/>
    <w:rsid w:val="002E4521"/>
    <w:rsid w:val="003A709A"/>
    <w:rsid w:val="003A7BAC"/>
    <w:rsid w:val="003D30C8"/>
    <w:rsid w:val="003E701B"/>
    <w:rsid w:val="0042781C"/>
    <w:rsid w:val="004C3110"/>
    <w:rsid w:val="004D40CD"/>
    <w:rsid w:val="004E4FFC"/>
    <w:rsid w:val="00514D41"/>
    <w:rsid w:val="005205EA"/>
    <w:rsid w:val="00563874"/>
    <w:rsid w:val="00577815"/>
    <w:rsid w:val="00581269"/>
    <w:rsid w:val="00583283"/>
    <w:rsid w:val="0059793E"/>
    <w:rsid w:val="005B4D7A"/>
    <w:rsid w:val="005B6E33"/>
    <w:rsid w:val="0062258A"/>
    <w:rsid w:val="00644FDB"/>
    <w:rsid w:val="00646435"/>
    <w:rsid w:val="0066664E"/>
    <w:rsid w:val="006A3F08"/>
    <w:rsid w:val="006A5381"/>
    <w:rsid w:val="006C1120"/>
    <w:rsid w:val="00724013"/>
    <w:rsid w:val="00762455"/>
    <w:rsid w:val="00766CD8"/>
    <w:rsid w:val="00770224"/>
    <w:rsid w:val="007E32EA"/>
    <w:rsid w:val="008004F1"/>
    <w:rsid w:val="00817825"/>
    <w:rsid w:val="00871FCE"/>
    <w:rsid w:val="008A2A8D"/>
    <w:rsid w:val="008B1FAE"/>
    <w:rsid w:val="008B70E8"/>
    <w:rsid w:val="008E3B9A"/>
    <w:rsid w:val="008F687A"/>
    <w:rsid w:val="0098431F"/>
    <w:rsid w:val="00984AB4"/>
    <w:rsid w:val="0098622D"/>
    <w:rsid w:val="009A3194"/>
    <w:rsid w:val="009A3FA5"/>
    <w:rsid w:val="009C690A"/>
    <w:rsid w:val="009E290F"/>
    <w:rsid w:val="00A23875"/>
    <w:rsid w:val="00A40A5A"/>
    <w:rsid w:val="00A46CE0"/>
    <w:rsid w:val="00A75208"/>
    <w:rsid w:val="00A80042"/>
    <w:rsid w:val="00A96DEE"/>
    <w:rsid w:val="00AC3511"/>
    <w:rsid w:val="00AE31B5"/>
    <w:rsid w:val="00B34CCD"/>
    <w:rsid w:val="00B613D1"/>
    <w:rsid w:val="00BB038C"/>
    <w:rsid w:val="00C02933"/>
    <w:rsid w:val="00C32B6B"/>
    <w:rsid w:val="00C422F7"/>
    <w:rsid w:val="00C47FD1"/>
    <w:rsid w:val="00C53068"/>
    <w:rsid w:val="00C92348"/>
    <w:rsid w:val="00CB2316"/>
    <w:rsid w:val="00CF4C92"/>
    <w:rsid w:val="00D22C5D"/>
    <w:rsid w:val="00D24393"/>
    <w:rsid w:val="00D6551A"/>
    <w:rsid w:val="00D82BA1"/>
    <w:rsid w:val="00D8431C"/>
    <w:rsid w:val="00E2054F"/>
    <w:rsid w:val="00E25820"/>
    <w:rsid w:val="00E805A9"/>
    <w:rsid w:val="00E80E67"/>
    <w:rsid w:val="00E82A5B"/>
    <w:rsid w:val="00E9481F"/>
    <w:rsid w:val="00EC0619"/>
    <w:rsid w:val="00EC410D"/>
    <w:rsid w:val="00ED0279"/>
    <w:rsid w:val="00F061F8"/>
    <w:rsid w:val="00F309A5"/>
    <w:rsid w:val="00F35CFD"/>
    <w:rsid w:val="00F45DEB"/>
    <w:rsid w:val="00F62CA4"/>
    <w:rsid w:val="00F848AF"/>
    <w:rsid w:val="00FA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"/>
    <w:qFormat/>
    <w:rsid w:val="00B61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92348"/>
    <w:pPr>
      <w:spacing w:after="0" w:line="240" w:lineRule="auto"/>
    </w:pPr>
    <w:rPr>
      <w:rFonts w:asciiTheme="majorBidi" w:hAnsiTheme="majorBidi"/>
      <w:sz w:val="24"/>
    </w:rPr>
  </w:style>
  <w:style w:type="paragraph" w:customStyle="1" w:styleId="Default">
    <w:name w:val="Default"/>
    <w:rsid w:val="003D3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7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70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5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01B"/>
  </w:style>
  <w:style w:type="paragraph" w:styleId="Pieddepage">
    <w:name w:val="footer"/>
    <w:basedOn w:val="Normal"/>
    <w:link w:val="PieddepageCar"/>
    <w:uiPriority w:val="99"/>
    <w:unhideWhenUsed/>
    <w:rsid w:val="003E7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01B"/>
  </w:style>
  <w:style w:type="character" w:customStyle="1" w:styleId="SansinterligneCar">
    <w:name w:val="Sans interligne Car"/>
    <w:basedOn w:val="Policepardfaut"/>
    <w:link w:val="Sansinterligne"/>
    <w:uiPriority w:val="1"/>
    <w:rsid w:val="00770224"/>
    <w:rPr>
      <w:rFonts w:asciiTheme="majorBidi" w:hAnsiTheme="maj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8981-0721-4654-AC53-DB521DCF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2</cp:revision>
  <cp:lastPrinted>2016-03-12T18:20:00Z</cp:lastPrinted>
  <dcterms:created xsi:type="dcterms:W3CDTF">2016-10-15T18:51:00Z</dcterms:created>
  <dcterms:modified xsi:type="dcterms:W3CDTF">2016-10-15T18:51:00Z</dcterms:modified>
</cp:coreProperties>
</file>