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D" w:rsidRPr="002201BD" w:rsidRDefault="00DE1B1D" w:rsidP="002201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01BD">
        <w:rPr>
          <w:rFonts w:ascii="Arial" w:hAnsi="Arial" w:cs="Arial"/>
          <w:b/>
          <w:bCs/>
          <w:sz w:val="28"/>
          <w:szCs w:val="28"/>
        </w:rPr>
        <w:t>LES TUBERCULOSES  EXTRA PULMONAIRES</w:t>
      </w:r>
    </w:p>
    <w:p w:rsidR="002201BD" w:rsidRDefault="002201BD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B1D" w:rsidRPr="002201BD" w:rsidRDefault="002201BD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1BD">
        <w:rPr>
          <w:rFonts w:ascii="Arial" w:hAnsi="Arial" w:cs="Arial"/>
          <w:i/>
          <w:iCs/>
          <w:sz w:val="20"/>
          <w:szCs w:val="20"/>
        </w:rPr>
        <w:t xml:space="preserve">Conférence </w:t>
      </w:r>
      <w:r>
        <w:rPr>
          <w:rFonts w:ascii="Arial" w:hAnsi="Arial" w:cs="Arial"/>
          <w:i/>
          <w:iCs/>
          <w:sz w:val="20"/>
          <w:szCs w:val="20"/>
        </w:rPr>
        <w:t>pour la 4</w:t>
      </w:r>
      <w:r w:rsidRPr="002201BD">
        <w:rPr>
          <w:rFonts w:ascii="Arial" w:hAnsi="Arial" w:cs="Arial"/>
          <w:i/>
          <w:iCs/>
          <w:sz w:val="20"/>
          <w:szCs w:val="20"/>
          <w:vertAlign w:val="superscript"/>
        </w:rPr>
        <w:t>ème</w:t>
      </w:r>
      <w:r>
        <w:rPr>
          <w:rFonts w:ascii="Arial" w:hAnsi="Arial" w:cs="Arial"/>
          <w:i/>
          <w:iCs/>
          <w:sz w:val="20"/>
          <w:szCs w:val="20"/>
        </w:rPr>
        <w:t xml:space="preserve">  année</w:t>
      </w:r>
      <w:r w:rsidRPr="002201BD">
        <w:rPr>
          <w:rFonts w:ascii="Arial" w:hAnsi="Arial" w:cs="Arial"/>
          <w:i/>
          <w:iCs/>
          <w:sz w:val="20"/>
          <w:szCs w:val="20"/>
        </w:rPr>
        <w:t xml:space="preserve"> médecine</w:t>
      </w:r>
    </w:p>
    <w:p w:rsidR="002201BD" w:rsidRPr="002201BD" w:rsidRDefault="002201BD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1BD">
        <w:rPr>
          <w:rFonts w:ascii="Arial" w:hAnsi="Arial" w:cs="Arial"/>
          <w:i/>
          <w:iCs/>
          <w:sz w:val="20"/>
          <w:szCs w:val="20"/>
        </w:rPr>
        <w:t>Professeur M.HADJADJ-AOUL</w:t>
      </w:r>
    </w:p>
    <w:p w:rsidR="002201BD" w:rsidRDefault="002201BD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1B1D" w:rsidRPr="00DE1B1D" w:rsidRDefault="00DE1B1D" w:rsidP="00220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B1D">
        <w:rPr>
          <w:rFonts w:ascii="Arial" w:hAnsi="Arial" w:cs="Arial"/>
          <w:b/>
          <w:bCs/>
          <w:sz w:val="24"/>
          <w:szCs w:val="24"/>
        </w:rPr>
        <w:t>GENERALITES</w:t>
      </w:r>
    </w:p>
    <w:p w:rsidR="00DE1B1D" w:rsidRDefault="00DE1B1D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1B1D" w:rsidRPr="005B71C6" w:rsidRDefault="00DE1B1D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B71C6">
        <w:rPr>
          <w:rFonts w:ascii="Arial" w:hAnsi="Arial" w:cs="Arial"/>
          <w:b/>
          <w:bCs/>
          <w:i/>
          <w:iCs/>
        </w:rPr>
        <w:t>La tuberculose extra-pulmonai</w:t>
      </w:r>
      <w:r w:rsidR="005B71C6">
        <w:rPr>
          <w:rFonts w:ascii="Arial" w:hAnsi="Arial" w:cs="Arial"/>
          <w:b/>
          <w:bCs/>
          <w:i/>
          <w:iCs/>
        </w:rPr>
        <w:t>re (TEP) est une  entité à part</w:t>
      </w:r>
      <w:r w:rsidRPr="005B71C6">
        <w:rPr>
          <w:rFonts w:ascii="Arial" w:hAnsi="Arial" w:cs="Arial"/>
          <w:b/>
          <w:bCs/>
          <w:i/>
          <w:iCs/>
        </w:rPr>
        <w:t>, se définit par l’atteinte des tissus et organes autres que les poumons par des mycobactéries du complexe tuberculosis.</w:t>
      </w:r>
    </w:p>
    <w:p w:rsidR="005B71C6" w:rsidRDefault="005B71C6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B71C6" w:rsidRPr="005B71C6" w:rsidRDefault="005B71C6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B71C6">
        <w:rPr>
          <w:rFonts w:ascii="Arial" w:hAnsi="Arial" w:cs="Arial"/>
          <w:b/>
          <w:bCs/>
          <w:u w:val="single"/>
        </w:rPr>
        <w:t>Caractéristiques des TEP</w:t>
      </w:r>
    </w:p>
    <w:p w:rsidR="005B71C6" w:rsidRDefault="005B71C6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5B71C6" w:rsidRDefault="005B71C6" w:rsidP="002201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5B71C6">
        <w:rPr>
          <w:rFonts w:ascii="Arial" w:hAnsi="Arial" w:cs="Arial"/>
          <w:b/>
          <w:bCs/>
          <w:i/>
          <w:iCs/>
        </w:rPr>
        <w:t xml:space="preserve">Elles </w:t>
      </w:r>
      <w:r>
        <w:rPr>
          <w:rFonts w:ascii="Arial" w:hAnsi="Arial" w:cs="Arial"/>
          <w:b/>
          <w:bCs/>
          <w:i/>
          <w:iCs/>
        </w:rPr>
        <w:t xml:space="preserve">représentent </w:t>
      </w:r>
      <w:r w:rsidR="002201BD"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b/>
          <w:bCs/>
          <w:i/>
          <w:iCs/>
        </w:rPr>
        <w:t>0</w:t>
      </w:r>
      <w:r w:rsidRPr="005B71C6">
        <w:rPr>
          <w:rFonts w:ascii="Arial" w:hAnsi="Arial" w:cs="Arial"/>
          <w:b/>
          <w:bCs/>
          <w:i/>
          <w:iCs/>
        </w:rPr>
        <w:t xml:space="preserve"> à </w:t>
      </w:r>
      <w:r w:rsidR="002201BD">
        <w:rPr>
          <w:rFonts w:ascii="Arial" w:hAnsi="Arial" w:cs="Arial"/>
          <w:b/>
          <w:bCs/>
          <w:i/>
          <w:iCs/>
        </w:rPr>
        <w:t>50</w:t>
      </w:r>
      <w:r w:rsidRPr="005B71C6">
        <w:rPr>
          <w:rFonts w:ascii="Arial" w:hAnsi="Arial" w:cs="Arial"/>
          <w:b/>
          <w:bCs/>
          <w:i/>
          <w:iCs/>
        </w:rPr>
        <w:t>% de</w:t>
      </w:r>
      <w:r w:rsidRPr="005B71C6">
        <w:rPr>
          <w:rFonts w:ascii="Arial" w:hAnsi="Arial" w:cs="Arial"/>
          <w:b/>
          <w:bCs/>
          <w:i/>
          <w:iCs/>
        </w:rPr>
        <w:t xml:space="preserve"> </w:t>
      </w:r>
      <w:r w:rsidRPr="005B71C6">
        <w:rPr>
          <w:rFonts w:ascii="Arial" w:hAnsi="Arial" w:cs="Arial"/>
          <w:b/>
          <w:bCs/>
          <w:i/>
          <w:iCs/>
        </w:rPr>
        <w:t>l'ensemble des cas de tuberculose identifiés en Algérie au cours des années récentes.</w:t>
      </w:r>
    </w:p>
    <w:p w:rsidR="00DE1B1D" w:rsidRPr="005B71C6" w:rsidRDefault="005B71C6" w:rsidP="002201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5B71C6">
        <w:rPr>
          <w:rFonts w:ascii="Arial" w:hAnsi="Arial" w:cs="Arial"/>
          <w:b/>
          <w:bCs/>
          <w:i/>
          <w:iCs/>
        </w:rPr>
        <w:t>Elles posent souvent un problème particulier de diagnostic en pratique médicale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5B71C6">
        <w:rPr>
          <w:rFonts w:ascii="Arial" w:hAnsi="Arial" w:cs="Arial"/>
          <w:b/>
          <w:bCs/>
          <w:i/>
          <w:iCs/>
        </w:rPr>
        <w:t xml:space="preserve">courante et nécessitent </w:t>
      </w:r>
      <w:r>
        <w:rPr>
          <w:rFonts w:ascii="Arial" w:hAnsi="Arial" w:cs="Arial"/>
          <w:b/>
          <w:bCs/>
          <w:i/>
          <w:iCs/>
        </w:rPr>
        <w:t xml:space="preserve">souvent </w:t>
      </w:r>
      <w:r w:rsidRPr="005B71C6">
        <w:rPr>
          <w:rFonts w:ascii="Arial" w:hAnsi="Arial" w:cs="Arial"/>
          <w:b/>
          <w:bCs/>
          <w:i/>
          <w:iCs/>
        </w:rPr>
        <w:t xml:space="preserve"> l’avis d’un</w:t>
      </w:r>
      <w:r w:rsidRPr="005B71C6">
        <w:rPr>
          <w:rFonts w:ascii="Arial" w:hAnsi="Arial" w:cs="Arial"/>
          <w:b/>
          <w:bCs/>
          <w:i/>
          <w:iCs/>
        </w:rPr>
        <w:t xml:space="preserve"> </w:t>
      </w:r>
      <w:r w:rsidRPr="005B71C6">
        <w:rPr>
          <w:rFonts w:ascii="Arial" w:hAnsi="Arial" w:cs="Arial"/>
          <w:b/>
          <w:bCs/>
          <w:i/>
          <w:iCs/>
        </w:rPr>
        <w:t>médecin spécialiste pour retenir le diagnostic avant de commencer le traitement.</w:t>
      </w:r>
    </w:p>
    <w:p w:rsidR="00000000" w:rsidRPr="00DE1B1D" w:rsidRDefault="001D1E47" w:rsidP="002201B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1B1D">
        <w:rPr>
          <w:rFonts w:ascii="Arial" w:hAnsi="Arial" w:cs="Arial"/>
          <w:b/>
          <w:bCs/>
          <w:i/>
          <w:iCs/>
        </w:rPr>
        <w:t>Contrairement aux tuberculoses pulmonaires, les TEP sont;</w:t>
      </w:r>
    </w:p>
    <w:p w:rsidR="00000000" w:rsidRPr="00DE1B1D" w:rsidRDefault="001D1E47" w:rsidP="002201BD">
      <w:pPr>
        <w:numPr>
          <w:ilvl w:val="4"/>
          <w:numId w:val="2"/>
        </w:numPr>
        <w:tabs>
          <w:tab w:val="clear" w:pos="3600"/>
        </w:tabs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</w:rPr>
      </w:pPr>
      <w:r w:rsidRPr="00DE1B1D">
        <w:rPr>
          <w:rFonts w:ascii="Arial" w:hAnsi="Arial" w:cs="Arial"/>
          <w:b/>
          <w:bCs/>
          <w:i/>
          <w:iCs/>
        </w:rPr>
        <w:t>Pauci bacillaire</w:t>
      </w:r>
      <w:r w:rsidR="005B71C6">
        <w:rPr>
          <w:rFonts w:ascii="Arial" w:hAnsi="Arial" w:cs="Arial"/>
          <w:b/>
          <w:bCs/>
          <w:i/>
          <w:iCs/>
        </w:rPr>
        <w:t xml:space="preserve"> </w:t>
      </w:r>
      <w:r w:rsidRPr="00DE1B1D">
        <w:rPr>
          <w:rFonts w:ascii="Arial" w:hAnsi="Arial" w:cs="Arial"/>
          <w:b/>
          <w:bCs/>
          <w:i/>
          <w:iCs/>
        </w:rPr>
        <w:t>(généralement)</w:t>
      </w:r>
    </w:p>
    <w:p w:rsidR="00000000" w:rsidRPr="00DE1B1D" w:rsidRDefault="001D1E47" w:rsidP="002201BD">
      <w:pPr>
        <w:numPr>
          <w:ilvl w:val="4"/>
          <w:numId w:val="2"/>
        </w:numPr>
        <w:tabs>
          <w:tab w:val="clear" w:pos="3600"/>
        </w:tabs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</w:rPr>
      </w:pPr>
      <w:r w:rsidRPr="00DE1B1D">
        <w:rPr>
          <w:rFonts w:ascii="Arial" w:hAnsi="Arial" w:cs="Arial"/>
          <w:b/>
          <w:bCs/>
          <w:i/>
          <w:iCs/>
        </w:rPr>
        <w:t>Ne constituent pas une source de con</w:t>
      </w:r>
      <w:r w:rsidRPr="00DE1B1D">
        <w:rPr>
          <w:rFonts w:ascii="Arial" w:hAnsi="Arial" w:cs="Arial"/>
          <w:b/>
          <w:bCs/>
          <w:i/>
          <w:iCs/>
        </w:rPr>
        <w:t>tamination.</w:t>
      </w:r>
    </w:p>
    <w:p w:rsidR="00DE1B1D" w:rsidRPr="005B71C6" w:rsidRDefault="00DE1B1D" w:rsidP="00220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B71C6">
        <w:rPr>
          <w:rFonts w:ascii="Arial" w:hAnsi="Arial" w:cs="Arial"/>
          <w:b/>
          <w:bCs/>
          <w:i/>
          <w:iCs/>
        </w:rPr>
        <w:t>La tuberculose peut toucher tous les organes</w:t>
      </w:r>
      <w:r w:rsidRPr="005B71C6">
        <w:rPr>
          <w:rFonts w:ascii="Arial" w:hAnsi="Arial" w:cs="Arial"/>
        </w:rPr>
        <w:t>. On distingue :</w:t>
      </w:r>
    </w:p>
    <w:p w:rsidR="00DE1B1D" w:rsidRPr="008F1010" w:rsidRDefault="00DE1B1D" w:rsidP="00220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Les localisations ganglionnaires, soit périphériques : cervicales, axillaires,</w:t>
      </w:r>
      <w:r w:rsidR="005B71C6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inguinales, soit profondes : médiastinales, mésentériques ;</w:t>
      </w:r>
    </w:p>
    <w:p w:rsidR="00DE1B1D" w:rsidRPr="008F1010" w:rsidRDefault="00DE1B1D" w:rsidP="00220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Les localisations séreuses de la maladie :</w:t>
      </w:r>
      <w:r w:rsidR="005B71C6" w:rsidRPr="008F1010">
        <w:rPr>
          <w:rFonts w:ascii="Arial" w:hAnsi="Arial" w:cs="Arial"/>
        </w:rPr>
        <w:t xml:space="preserve"> pleurésies </w:t>
      </w:r>
      <w:proofErr w:type="spellStart"/>
      <w:r w:rsidR="005B71C6" w:rsidRPr="008F1010">
        <w:rPr>
          <w:rFonts w:ascii="Arial" w:hAnsi="Arial" w:cs="Arial"/>
        </w:rPr>
        <w:t>séro</w:t>
      </w:r>
      <w:proofErr w:type="spellEnd"/>
      <w:r w:rsidR="005B71C6" w:rsidRPr="008F1010">
        <w:rPr>
          <w:rFonts w:ascii="Arial" w:hAnsi="Arial" w:cs="Arial"/>
        </w:rPr>
        <w:t xml:space="preserve">-fibrineuses ou </w:t>
      </w:r>
      <w:proofErr w:type="spellStart"/>
      <w:r w:rsidRPr="008F1010">
        <w:rPr>
          <w:rFonts w:ascii="Arial" w:hAnsi="Arial" w:cs="Arial"/>
        </w:rPr>
        <w:t>sérohémorragiques</w:t>
      </w:r>
      <w:proofErr w:type="spellEnd"/>
      <w:r w:rsidR="005B71C6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(rarement purulentes), péritonites, péricardites; on rattache à ce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groupe les méningites;</w:t>
      </w:r>
    </w:p>
    <w:p w:rsidR="00DE1B1D" w:rsidRPr="008F1010" w:rsidRDefault="00DE1B1D" w:rsidP="00220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Les localisations osseuses et ostéo-articulaires : vertébrales et des membres</w:t>
      </w:r>
      <w:r w:rsidR="005B71C6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(osseuses pures, et ostéo-articulaires) ;</w:t>
      </w:r>
    </w:p>
    <w:p w:rsidR="00DE1B1D" w:rsidRPr="008F1010" w:rsidRDefault="00DE1B1D" w:rsidP="00220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Les localisations viscérales : intestinales, rénales, hépatiques, spléniques,</w:t>
      </w:r>
      <w:r w:rsidR="005B71C6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cérébrales, génitales ;</w:t>
      </w:r>
    </w:p>
    <w:p w:rsidR="00DE1B1D" w:rsidRPr="008F1010" w:rsidRDefault="00DE1B1D" w:rsidP="00220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Les localisations cutanées et muqueuses.</w:t>
      </w:r>
    </w:p>
    <w:p w:rsidR="00DE1B1D" w:rsidRPr="002201BD" w:rsidRDefault="00DE1B1D" w:rsidP="00220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Les symptômes cliniques et éventuellement les signes radiologiques ou biologiques</w:t>
      </w:r>
      <w:r w:rsidR="008F1010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diffèrent selon les localisations : ils ne constituent que des éléments de présomption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du diagnostic.</w:t>
      </w:r>
    </w:p>
    <w:p w:rsidR="008F1010" w:rsidRDefault="008F1010" w:rsidP="0022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010" w:rsidRDefault="008F1010" w:rsidP="00220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F1010">
        <w:rPr>
          <w:rFonts w:ascii="Arial" w:hAnsi="Arial" w:cs="Arial"/>
          <w:b/>
          <w:bCs/>
          <w:sz w:val="24"/>
          <w:szCs w:val="24"/>
        </w:rPr>
        <w:t xml:space="preserve">LE DIAGNOSTIC DES TUBERCULOSES EXTRA PULMONAIRES : </w:t>
      </w:r>
    </w:p>
    <w:p w:rsidR="00DE1B1D" w:rsidRPr="008F1010" w:rsidRDefault="008F1010" w:rsidP="002201BD">
      <w:pPr>
        <w:pStyle w:val="Paragraphedeliste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‘CAS PRESUMES ET CAS PROUVES’ </w:t>
      </w:r>
    </w:p>
    <w:p w:rsidR="008F1010" w:rsidRDefault="008F1010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DE1B1D" w:rsidRPr="008F1010" w:rsidRDefault="00DE1B1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8F1010">
        <w:rPr>
          <w:rFonts w:ascii="Arial" w:hAnsi="Arial" w:cs="Arial"/>
          <w:b/>
          <w:bCs/>
          <w:i/>
          <w:iCs/>
        </w:rPr>
        <w:t>Le diagnostic des localisations extra pulmonaires repose sur les arguments de</w:t>
      </w:r>
      <w:r w:rsidR="002201BD">
        <w:rPr>
          <w:rFonts w:ascii="Arial" w:hAnsi="Arial" w:cs="Arial"/>
          <w:b/>
          <w:bCs/>
          <w:i/>
          <w:iCs/>
        </w:rPr>
        <w:t xml:space="preserve"> </w:t>
      </w:r>
      <w:r w:rsidRPr="008F1010">
        <w:rPr>
          <w:rFonts w:ascii="Arial" w:hAnsi="Arial" w:cs="Arial"/>
          <w:b/>
          <w:bCs/>
          <w:i/>
          <w:iCs/>
        </w:rPr>
        <w:t>présomption ou sur des arguments de certitude.</w:t>
      </w:r>
    </w:p>
    <w:p w:rsidR="008F1010" w:rsidRDefault="008F1010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1B1D" w:rsidRPr="008F1010" w:rsidRDefault="00DE1B1D" w:rsidP="00220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8F1010">
        <w:rPr>
          <w:rFonts w:ascii="Arial" w:hAnsi="Arial" w:cs="Arial"/>
          <w:b/>
          <w:bCs/>
          <w:u w:val="single"/>
        </w:rPr>
        <w:t>Les cas présumés</w:t>
      </w:r>
    </w:p>
    <w:p w:rsidR="00DE1B1D" w:rsidRDefault="00DE1B1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diagnostic de tuberculose extra pulmonaire peut être retenu avec une forte</w:t>
      </w:r>
      <w:r w:rsidR="008F1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probabilité si l'on réunit les critères suivants qui définissent les « cas</w:t>
      </w:r>
      <w:r w:rsidR="008F1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présumés » :</w:t>
      </w:r>
    </w:p>
    <w:p w:rsidR="00DE1B1D" w:rsidRPr="008F1010" w:rsidRDefault="00DE1B1D" w:rsidP="002201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Un tableau clinique et éventuellement radiologique compatible </w:t>
      </w:r>
      <w:r w:rsidRPr="008F1010">
        <w:rPr>
          <w:rFonts w:ascii="Arial" w:hAnsi="Arial" w:cs="Arial"/>
        </w:rPr>
        <w:t>réunissant :</w:t>
      </w:r>
    </w:p>
    <w:p w:rsidR="00DE1B1D" w:rsidRPr="008F1010" w:rsidRDefault="00DE1B1D" w:rsidP="002201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Des symptômes généraux d'infection subaiguë ou chronique ;</w:t>
      </w:r>
    </w:p>
    <w:p w:rsidR="00DE1B1D" w:rsidRPr="008F1010" w:rsidRDefault="00DE1B1D" w:rsidP="002201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Des signes fonctionnels et physiques variables selon la localisation ;</w:t>
      </w:r>
    </w:p>
    <w:p w:rsidR="0081056C" w:rsidRPr="008F1010" w:rsidRDefault="00DE1B1D" w:rsidP="002201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lastRenderedPageBreak/>
        <w:t>Eventuellement une imagerie évocatrice (radiographie du thorax, du squelette,</w:t>
      </w:r>
      <w:r w:rsidR="008F1010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tomodensitométrie du cerveau, échographie du foie et du rein, urographie</w:t>
      </w:r>
      <w:r w:rsidR="008F1010" w:rsidRP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intraveineuse, transit ou lavement baryté</w:t>
      </w:r>
      <w:r w:rsidR="001D1E47">
        <w:rPr>
          <w:rFonts w:ascii="Arial" w:hAnsi="Arial" w:cs="Arial"/>
        </w:rPr>
        <w:t>…….</w:t>
      </w:r>
      <w:r w:rsidRPr="008F1010">
        <w:rPr>
          <w:rFonts w:ascii="Arial" w:hAnsi="Arial" w:cs="Arial"/>
        </w:rPr>
        <w:t>) ;</w:t>
      </w:r>
    </w:p>
    <w:p w:rsidR="008F1010" w:rsidRDefault="00DE1B1D" w:rsidP="002201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Des signes cyto-histologiques d'inflammation chronique </w:t>
      </w:r>
      <w:r w:rsidRPr="008F1010">
        <w:rPr>
          <w:rFonts w:ascii="Arial" w:hAnsi="Arial" w:cs="Arial"/>
        </w:rPr>
        <w:t xml:space="preserve">: </w:t>
      </w:r>
    </w:p>
    <w:p w:rsidR="001D1E47" w:rsidRDefault="008F1010" w:rsidP="002201B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</w:t>
      </w:r>
      <w:r w:rsidR="00DE1B1D" w:rsidRPr="008F1010">
        <w:rPr>
          <w:rFonts w:ascii="Arial" w:hAnsi="Arial" w:cs="Arial"/>
        </w:rPr>
        <w:t>ymphocytose</w:t>
      </w:r>
      <w:r w:rsidRPr="008F1010">
        <w:rPr>
          <w:rFonts w:ascii="Arial" w:hAnsi="Arial" w:cs="Arial"/>
        </w:rPr>
        <w:t xml:space="preserve"> </w:t>
      </w:r>
      <w:r w:rsidR="00DE1B1D" w:rsidRPr="008F1010">
        <w:rPr>
          <w:rFonts w:ascii="Arial" w:hAnsi="Arial" w:cs="Arial"/>
        </w:rPr>
        <w:t>prédominante et durable dans des liquides pathologiques (pleurésie, ascite,</w:t>
      </w:r>
      <w:r>
        <w:rPr>
          <w:rFonts w:ascii="Arial" w:hAnsi="Arial" w:cs="Arial"/>
        </w:rPr>
        <w:t xml:space="preserve"> </w:t>
      </w:r>
      <w:r w:rsidR="00DE1B1D" w:rsidRPr="008F1010">
        <w:rPr>
          <w:rFonts w:ascii="Arial" w:hAnsi="Arial" w:cs="Arial"/>
        </w:rPr>
        <w:t xml:space="preserve">péricardite, LCR), </w:t>
      </w:r>
    </w:p>
    <w:p w:rsidR="00DE1B1D" w:rsidRPr="008F1010" w:rsidRDefault="001D1E47" w:rsidP="002201B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 xml:space="preserve">Granulome </w:t>
      </w:r>
      <w:r w:rsidR="00DE1B1D" w:rsidRPr="008F1010">
        <w:rPr>
          <w:rFonts w:ascii="Arial" w:hAnsi="Arial" w:cs="Arial"/>
        </w:rPr>
        <w:t>inflammatoire sans caséification dans des pièces</w:t>
      </w:r>
      <w:r w:rsidR="008F1010">
        <w:rPr>
          <w:rFonts w:ascii="Arial" w:hAnsi="Arial" w:cs="Arial"/>
        </w:rPr>
        <w:t xml:space="preserve"> </w:t>
      </w:r>
      <w:r w:rsidR="00DE1B1D" w:rsidRPr="008F1010">
        <w:rPr>
          <w:rFonts w:ascii="Arial" w:hAnsi="Arial" w:cs="Arial"/>
        </w:rPr>
        <w:t>de biopsie.</w:t>
      </w:r>
    </w:p>
    <w:p w:rsidR="00DE1B1D" w:rsidRDefault="00DE1B1D" w:rsidP="002201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Un test tuberculinique positif, </w:t>
      </w:r>
      <w:r w:rsidRPr="008F1010">
        <w:rPr>
          <w:rFonts w:ascii="Arial" w:hAnsi="Arial" w:cs="Arial"/>
        </w:rPr>
        <w:t>dont la papule d'induration est égale ou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supérieure à 10 mm (chez des adultes ou encore chez des enfants non vaccinés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par le BCG) ou à 15 mm chez les enfants porteurs d’une cicatrice vaccinale du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BCG ;</w:t>
      </w:r>
    </w:p>
    <w:p w:rsidR="001D1E47" w:rsidRPr="008F1010" w:rsidRDefault="001D1E47" w:rsidP="002201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Un test QUANTIFERON </w:t>
      </w:r>
      <w:r>
        <w:rPr>
          <w:rFonts w:ascii="Arial" w:hAnsi="Arial" w:cs="Arial"/>
          <w:i/>
          <w:iCs/>
        </w:rPr>
        <w:t>positif</w:t>
      </w:r>
    </w:p>
    <w:p w:rsidR="00DE1B1D" w:rsidRPr="008F1010" w:rsidRDefault="00DE1B1D" w:rsidP="002201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et l’élimination d’autres étiologies </w:t>
      </w:r>
      <w:r w:rsidRPr="008F1010">
        <w:rPr>
          <w:rFonts w:ascii="Arial" w:hAnsi="Arial" w:cs="Arial"/>
        </w:rPr>
        <w:t>à l'origine des symptômes et signes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observés.</w:t>
      </w:r>
    </w:p>
    <w:p w:rsidR="008F1010" w:rsidRDefault="008F1010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E1B1D" w:rsidRPr="008F1010" w:rsidRDefault="00DE1B1D" w:rsidP="00220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</w:rPr>
      </w:pPr>
      <w:r w:rsidRPr="008F1010">
        <w:rPr>
          <w:rFonts w:ascii="Arial" w:hAnsi="Arial" w:cs="Arial"/>
          <w:b/>
          <w:bCs/>
          <w:u w:val="single"/>
        </w:rPr>
        <w:t>Les cas prouvés :</w:t>
      </w:r>
    </w:p>
    <w:p w:rsidR="008F1010" w:rsidRDefault="008F1010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1B1D" w:rsidRPr="002201BD" w:rsidRDefault="00DE1B1D" w:rsidP="002201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2201BD">
        <w:rPr>
          <w:rFonts w:ascii="Arial" w:hAnsi="Arial" w:cs="Arial"/>
          <w:b/>
          <w:bCs/>
          <w:i/>
          <w:iCs/>
        </w:rPr>
        <w:t>Les critères du diagnostic de certit</w:t>
      </w:r>
      <w:r w:rsidR="008F1010" w:rsidRPr="002201BD">
        <w:rPr>
          <w:rFonts w:ascii="Arial" w:hAnsi="Arial" w:cs="Arial"/>
          <w:b/>
          <w:bCs/>
          <w:i/>
          <w:iCs/>
        </w:rPr>
        <w:t xml:space="preserve">ude sont bactériologiques et/ou </w:t>
      </w:r>
      <w:proofErr w:type="spellStart"/>
      <w:r w:rsidRPr="002201BD">
        <w:rPr>
          <w:rFonts w:ascii="Arial" w:hAnsi="Arial" w:cs="Arial"/>
          <w:b/>
          <w:bCs/>
          <w:i/>
          <w:iCs/>
        </w:rPr>
        <w:t>histocytologiques</w:t>
      </w:r>
      <w:proofErr w:type="spellEnd"/>
      <w:r w:rsidRPr="002201BD">
        <w:rPr>
          <w:rFonts w:ascii="Arial" w:hAnsi="Arial" w:cs="Arial"/>
          <w:b/>
          <w:bCs/>
          <w:i/>
          <w:iCs/>
        </w:rPr>
        <w:t>.</w:t>
      </w:r>
    </w:p>
    <w:p w:rsidR="00DE1B1D" w:rsidRPr="002201BD" w:rsidRDefault="00DE1B1D" w:rsidP="002201B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2201BD">
        <w:rPr>
          <w:rFonts w:ascii="Arial" w:hAnsi="Arial" w:cs="Arial"/>
          <w:b/>
          <w:bCs/>
          <w:i/>
          <w:iCs/>
        </w:rPr>
        <w:t>Le diagnostic de tuberculose extra pulmonaire ne peut être posé avec certitude</w:t>
      </w:r>
      <w:r w:rsidR="008F1010" w:rsidRPr="002201BD">
        <w:rPr>
          <w:rFonts w:ascii="Arial" w:hAnsi="Arial" w:cs="Arial"/>
          <w:b/>
          <w:bCs/>
          <w:i/>
          <w:iCs/>
        </w:rPr>
        <w:t xml:space="preserve"> </w:t>
      </w:r>
      <w:r w:rsidRPr="002201BD">
        <w:rPr>
          <w:rFonts w:ascii="Arial" w:hAnsi="Arial" w:cs="Arial"/>
          <w:b/>
          <w:bCs/>
          <w:i/>
          <w:iCs/>
        </w:rPr>
        <w:t>que si l'on dispose au moins de l'un des trois critères suivants qui définissent les</w:t>
      </w:r>
      <w:r w:rsidR="008F1010" w:rsidRPr="002201BD">
        <w:rPr>
          <w:rFonts w:ascii="Arial" w:hAnsi="Arial" w:cs="Arial"/>
          <w:b/>
          <w:bCs/>
          <w:i/>
          <w:iCs/>
        </w:rPr>
        <w:t xml:space="preserve"> </w:t>
      </w:r>
      <w:r w:rsidRPr="002201BD">
        <w:rPr>
          <w:rFonts w:ascii="Arial" w:hAnsi="Arial" w:cs="Arial"/>
          <w:b/>
          <w:bCs/>
          <w:i/>
          <w:iCs/>
        </w:rPr>
        <w:t>« cas prouvés ».</w:t>
      </w:r>
    </w:p>
    <w:p w:rsidR="008F1010" w:rsidRPr="008F1010" w:rsidRDefault="008F1010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DE1B1D" w:rsidRPr="008F1010" w:rsidRDefault="00DE1B1D" w:rsidP="002201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La mise en évidence du bacille de la tuberculose par la culture </w:t>
      </w:r>
      <w:r w:rsidRPr="008F1010">
        <w:rPr>
          <w:rFonts w:ascii="Arial" w:hAnsi="Arial" w:cs="Arial"/>
        </w:rPr>
        <w:t>d'un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prélèvement pathologique. Ces prélèvements sont liquides ou solides :</w:t>
      </w:r>
    </w:p>
    <w:p w:rsidR="00DE1B1D" w:rsidRPr="008F1010" w:rsidRDefault="00DE1B1D" w:rsidP="002201B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Prélèvements liquides : </w:t>
      </w:r>
      <w:r w:rsidRPr="008F1010">
        <w:rPr>
          <w:rFonts w:ascii="Arial" w:hAnsi="Arial" w:cs="Arial"/>
        </w:rPr>
        <w:t>suc ganglionnaire prélevé par ponction, pus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d'adénite suppurée ou d’abcès froid, culot de centrifugation d'urines, ou de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liquide inflammatoire d'une méningite à liquide clair, d'une pleurésie, d'une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ascite, d'une péricardite, d'un épanchement synovial.</w:t>
      </w:r>
    </w:p>
    <w:p w:rsidR="00DE1B1D" w:rsidRPr="008F1010" w:rsidRDefault="00DE1B1D" w:rsidP="002201B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  <w:b/>
          <w:bCs/>
          <w:i/>
          <w:iCs/>
        </w:rPr>
        <w:t xml:space="preserve">Prélèvements solides : </w:t>
      </w:r>
      <w:r w:rsidRPr="008F1010">
        <w:rPr>
          <w:rFonts w:ascii="Arial" w:hAnsi="Arial" w:cs="Arial"/>
        </w:rPr>
        <w:t>broyats de fragments de biopsies tissulaires ou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ganglionnaires, ou de pièces d'exérèse, recueillis et transportés au laboratoire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dans de l'eau distillée stérile ou du sérum physiologique (et non dans le formol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ou du liquide de Bouin).</w:t>
      </w:r>
    </w:p>
    <w:p w:rsidR="008F1010" w:rsidRDefault="00DE1B1D" w:rsidP="002201B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L'examen microscopique direct des prélèvements liquides permet rarement de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 xml:space="preserve">trouver des bacilles </w:t>
      </w:r>
      <w:proofErr w:type="spellStart"/>
      <w:r w:rsidRPr="008F1010">
        <w:rPr>
          <w:rFonts w:ascii="Arial" w:hAnsi="Arial" w:cs="Arial"/>
        </w:rPr>
        <w:t>acido</w:t>
      </w:r>
      <w:proofErr w:type="spellEnd"/>
      <w:r w:rsidRPr="008F1010">
        <w:rPr>
          <w:rFonts w:ascii="Arial" w:hAnsi="Arial" w:cs="Arial"/>
        </w:rPr>
        <w:t xml:space="preserve"> alcoolo résistants, sauf en cas de tuberculose rénale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(où l’on peut les trouver à l’examen microscopique d’un frottis du culot de</w:t>
      </w:r>
      <w:r w:rsidR="008F1010">
        <w:rPr>
          <w:rFonts w:ascii="Arial" w:hAnsi="Arial" w:cs="Arial"/>
        </w:rPr>
        <w:t xml:space="preserve"> </w:t>
      </w:r>
      <w:r w:rsidRPr="008F1010">
        <w:rPr>
          <w:rFonts w:ascii="Arial" w:hAnsi="Arial" w:cs="Arial"/>
        </w:rPr>
        <w:t>centrifugation urinaire).</w:t>
      </w:r>
    </w:p>
    <w:p w:rsidR="00DE1B1D" w:rsidRDefault="00DE1B1D" w:rsidP="002201B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10">
        <w:rPr>
          <w:rFonts w:ascii="Arial" w:hAnsi="Arial" w:cs="Arial"/>
        </w:rPr>
        <w:t>La PCR (</w:t>
      </w:r>
      <w:proofErr w:type="spellStart"/>
      <w:r w:rsidRPr="008F1010">
        <w:rPr>
          <w:rFonts w:ascii="Arial" w:hAnsi="Arial" w:cs="Arial"/>
        </w:rPr>
        <w:t>Polymerase</w:t>
      </w:r>
      <w:proofErr w:type="spellEnd"/>
      <w:r w:rsidRPr="008F1010">
        <w:rPr>
          <w:rFonts w:ascii="Arial" w:hAnsi="Arial" w:cs="Arial"/>
        </w:rPr>
        <w:t xml:space="preserve"> Chain </w:t>
      </w:r>
      <w:proofErr w:type="spellStart"/>
      <w:r w:rsidRPr="008F1010">
        <w:rPr>
          <w:rFonts w:ascii="Arial" w:hAnsi="Arial" w:cs="Arial"/>
        </w:rPr>
        <w:t>Reaction</w:t>
      </w:r>
      <w:proofErr w:type="spellEnd"/>
      <w:r w:rsidRPr="008F1010">
        <w:rPr>
          <w:rFonts w:ascii="Arial" w:hAnsi="Arial" w:cs="Arial"/>
        </w:rPr>
        <w:t>) pourrait apporter un élément au diagnostic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 xml:space="preserve">grâce à l'amplification de fragments de gènes spécifiques de </w:t>
      </w:r>
      <w:r w:rsidRPr="002201BD">
        <w:rPr>
          <w:rFonts w:ascii="Arial" w:hAnsi="Arial" w:cs="Arial"/>
          <w:i/>
          <w:iCs/>
        </w:rPr>
        <w:t>Mycobacterium</w:t>
      </w:r>
      <w:r w:rsidR="002201BD">
        <w:rPr>
          <w:rFonts w:ascii="Arial" w:hAnsi="Arial" w:cs="Arial"/>
          <w:i/>
          <w:iCs/>
        </w:rPr>
        <w:t xml:space="preserve"> </w:t>
      </w:r>
      <w:r w:rsidRPr="002201BD">
        <w:rPr>
          <w:rFonts w:ascii="Arial" w:hAnsi="Arial" w:cs="Arial"/>
          <w:i/>
          <w:iCs/>
        </w:rPr>
        <w:t>tuberculosis</w:t>
      </w:r>
      <w:r w:rsidRPr="002201BD">
        <w:rPr>
          <w:rFonts w:ascii="Arial" w:hAnsi="Arial" w:cs="Arial"/>
        </w:rPr>
        <w:t>. Dans l’état actuel des méthodes disponibles et de leur coût, les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méthodes dérivées de la PCR n’ont pas leur place dans le cadre du Programme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National de lutte contre la Tuberculose.</w:t>
      </w:r>
    </w:p>
    <w:p w:rsidR="002201BD" w:rsidRPr="002201BD" w:rsidRDefault="002201BD" w:rsidP="002201BD">
      <w:pPr>
        <w:pStyle w:val="Paragraphedeliste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1B1D" w:rsidRDefault="00DE1B1D" w:rsidP="002201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01BD">
        <w:rPr>
          <w:rFonts w:ascii="Arial" w:hAnsi="Arial" w:cs="Arial"/>
          <w:b/>
          <w:bCs/>
          <w:i/>
          <w:iCs/>
        </w:rPr>
        <w:t xml:space="preserve">La découverte d'un follicule caséeux </w:t>
      </w:r>
      <w:r w:rsidRPr="002201BD">
        <w:rPr>
          <w:rFonts w:ascii="Arial" w:hAnsi="Arial" w:cs="Arial"/>
        </w:rPr>
        <w:t>(foyer arrondi fait de cellules épithéliales,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de quelques cellules géantes et d'une couronne de lymphocytes, avec nécrose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 xml:space="preserve">caséeuse centrale) à l'examen </w:t>
      </w:r>
      <w:proofErr w:type="spellStart"/>
      <w:r w:rsidRPr="002201BD">
        <w:rPr>
          <w:rFonts w:ascii="Arial" w:hAnsi="Arial" w:cs="Arial"/>
        </w:rPr>
        <w:t>histo-pathologique</w:t>
      </w:r>
      <w:proofErr w:type="spellEnd"/>
      <w:r w:rsidRPr="002201BD">
        <w:rPr>
          <w:rFonts w:ascii="Arial" w:hAnsi="Arial" w:cs="Arial"/>
        </w:rPr>
        <w:t xml:space="preserve"> d'un fragment de tissu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pathologique ramené par biopsie (ganglion, muqueuse bronchique ou digestive,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lastRenderedPageBreak/>
        <w:t>plèvre, endomètre, foie, os, synoviale, peau) ou par exérèse limitée (poumon, rein).</w:t>
      </w:r>
    </w:p>
    <w:p w:rsidR="002201BD" w:rsidRPr="002201BD" w:rsidRDefault="002201BD" w:rsidP="002201BD">
      <w:pPr>
        <w:pStyle w:val="Paragraphedeliste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1B1D" w:rsidRPr="002201BD" w:rsidRDefault="00DE1B1D" w:rsidP="002201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01BD">
        <w:rPr>
          <w:rFonts w:ascii="Arial" w:hAnsi="Arial" w:cs="Arial"/>
          <w:b/>
          <w:bCs/>
          <w:i/>
          <w:iCs/>
        </w:rPr>
        <w:t xml:space="preserve">L'examen en microscopie d'un frottis de pus caséeux </w:t>
      </w:r>
      <w:r w:rsidRPr="002201BD">
        <w:rPr>
          <w:rFonts w:ascii="Arial" w:hAnsi="Arial" w:cs="Arial"/>
        </w:rPr>
        <w:t>(par apposition d'une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tranche de section d'un ganglion, ou d'une pièce opératoire, ou d'un pus d'allure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caséeuse obtenu par ponction) après coloration à l'</w:t>
      </w:r>
      <w:proofErr w:type="spellStart"/>
      <w:r w:rsidRPr="002201BD">
        <w:rPr>
          <w:rFonts w:ascii="Arial" w:hAnsi="Arial" w:cs="Arial"/>
        </w:rPr>
        <w:t>hémateine</w:t>
      </w:r>
      <w:proofErr w:type="spellEnd"/>
      <w:r w:rsidRPr="002201BD">
        <w:rPr>
          <w:rFonts w:ascii="Arial" w:hAnsi="Arial" w:cs="Arial"/>
        </w:rPr>
        <w:t xml:space="preserve"> éosine montrant une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nappe éosinophile anhiste, contenant quelques débris cellulaires.</w:t>
      </w:r>
    </w:p>
    <w:p w:rsidR="002201BD" w:rsidRDefault="002201B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201BD" w:rsidRDefault="002201B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E1B1D" w:rsidRPr="002201BD" w:rsidRDefault="002201BD" w:rsidP="00220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201BD">
        <w:rPr>
          <w:rFonts w:ascii="Arial" w:hAnsi="Arial" w:cs="Arial"/>
          <w:b/>
          <w:bCs/>
          <w:sz w:val="24"/>
          <w:szCs w:val="24"/>
        </w:rPr>
        <w:t>CLASSEMENT DES LOCALISATIONS EXTRA PULMONAIRES DE LA TUBERCULOSE SELON LEUR GRAVITE.</w:t>
      </w:r>
    </w:p>
    <w:p w:rsidR="002201BD" w:rsidRDefault="002201B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DE1B1D" w:rsidRPr="002201BD" w:rsidRDefault="00DE1B1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2201BD">
        <w:rPr>
          <w:rFonts w:ascii="Arial" w:hAnsi="Arial" w:cs="Arial"/>
          <w:b/>
          <w:bCs/>
          <w:i/>
          <w:iCs/>
        </w:rPr>
        <w:t>Les localisations extra pulmonaires ont un pronostic vital ou fonctionnel différent</w:t>
      </w:r>
    </w:p>
    <w:p w:rsidR="00DE1B1D" w:rsidRDefault="00DE1B1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2201BD">
        <w:rPr>
          <w:rFonts w:ascii="Arial" w:hAnsi="Arial" w:cs="Arial"/>
          <w:b/>
          <w:bCs/>
          <w:i/>
          <w:iCs/>
        </w:rPr>
        <w:t>selon</w:t>
      </w:r>
      <w:proofErr w:type="gramEnd"/>
      <w:r w:rsidRPr="002201BD">
        <w:rPr>
          <w:rFonts w:ascii="Arial" w:hAnsi="Arial" w:cs="Arial"/>
          <w:b/>
          <w:bCs/>
          <w:i/>
          <w:iCs/>
        </w:rPr>
        <w:t xml:space="preserve"> les sites atteints.</w:t>
      </w:r>
      <w:r>
        <w:rPr>
          <w:rFonts w:ascii="Arial" w:hAnsi="Arial" w:cs="Arial"/>
        </w:rPr>
        <w:t xml:space="preserve"> On distingue :</w:t>
      </w:r>
    </w:p>
    <w:p w:rsidR="002201BD" w:rsidRDefault="002201BD" w:rsidP="002201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201BD" w:rsidRDefault="00DE1B1D" w:rsidP="002201B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01BD">
        <w:rPr>
          <w:rFonts w:ascii="Arial" w:hAnsi="Arial" w:cs="Arial"/>
          <w:b/>
          <w:bCs/>
          <w:i/>
          <w:iCs/>
        </w:rPr>
        <w:t>Les formes sévères :</w:t>
      </w:r>
      <w:r w:rsidRPr="002201BD">
        <w:rPr>
          <w:rFonts w:ascii="Arial" w:hAnsi="Arial" w:cs="Arial"/>
          <w:i/>
          <w:iCs/>
        </w:rPr>
        <w:t xml:space="preserve"> </w:t>
      </w:r>
      <w:r w:rsidRPr="002201BD">
        <w:rPr>
          <w:rFonts w:ascii="Arial" w:hAnsi="Arial" w:cs="Arial"/>
        </w:rPr>
        <w:t xml:space="preserve">Les formes aiguës disséminées (méningite), péricardite, tuberculose vertébrale (mal de Pott), tuberculose </w:t>
      </w:r>
      <w:r w:rsidR="002201BD" w:rsidRPr="002201BD">
        <w:rPr>
          <w:rFonts w:ascii="Arial" w:hAnsi="Arial" w:cs="Arial"/>
        </w:rPr>
        <w:t>rénale</w:t>
      </w:r>
    </w:p>
    <w:p w:rsidR="002201BD" w:rsidRDefault="002201BD" w:rsidP="002201BD">
      <w:pPr>
        <w:pStyle w:val="Paragraphedeliste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1B1D" w:rsidRPr="002201BD" w:rsidRDefault="00DE1B1D" w:rsidP="002201B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01BD">
        <w:rPr>
          <w:rFonts w:ascii="Arial" w:hAnsi="Arial" w:cs="Arial"/>
          <w:b/>
          <w:bCs/>
          <w:i/>
          <w:iCs/>
        </w:rPr>
        <w:t>Les formes communes</w:t>
      </w:r>
      <w:r w:rsidRPr="002201BD">
        <w:rPr>
          <w:rFonts w:ascii="Arial" w:hAnsi="Arial" w:cs="Arial"/>
          <w:i/>
          <w:iCs/>
        </w:rPr>
        <w:t xml:space="preserve"> : </w:t>
      </w:r>
      <w:r w:rsidRPr="002201BD">
        <w:rPr>
          <w:rFonts w:ascii="Arial" w:hAnsi="Arial" w:cs="Arial"/>
        </w:rPr>
        <w:t>pleurésie, adénopathie périphérique, tuberculose osseuse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et ostéo-articulaire (rachis exclu), péritonite à forme ascitique, tuberculose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intestinale, autres localisations viscérales, tuberculose de la peau et des</w:t>
      </w:r>
      <w:r w:rsidR="002201BD">
        <w:rPr>
          <w:rFonts w:ascii="Arial" w:hAnsi="Arial" w:cs="Arial"/>
        </w:rPr>
        <w:t xml:space="preserve"> </w:t>
      </w:r>
      <w:r w:rsidRPr="002201BD">
        <w:rPr>
          <w:rFonts w:ascii="Arial" w:hAnsi="Arial" w:cs="Arial"/>
        </w:rPr>
        <w:t>muqueuses.</w:t>
      </w:r>
    </w:p>
    <w:p w:rsidR="002201BD" w:rsidRDefault="002201BD" w:rsidP="002201BD">
      <w:pPr>
        <w:jc w:val="both"/>
        <w:rPr>
          <w:rFonts w:ascii="Arial" w:hAnsi="Arial" w:cs="Arial"/>
        </w:rPr>
      </w:pPr>
    </w:p>
    <w:p w:rsidR="00DE1B1D" w:rsidRDefault="00DE1B1D" w:rsidP="00220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classification est importante pour choisir le régime thérapeutique approprié</w:t>
      </w:r>
      <w:r w:rsidR="001D1E47">
        <w:rPr>
          <w:rFonts w:ascii="Arial" w:hAnsi="Arial" w:cs="Arial"/>
        </w:rPr>
        <w:t> :</w:t>
      </w:r>
    </w:p>
    <w:p w:rsidR="001D1E47" w:rsidRPr="001D1E47" w:rsidRDefault="001D1E47" w:rsidP="001D1E47">
      <w:pPr>
        <w:pStyle w:val="Paragraphedeliste"/>
        <w:numPr>
          <w:ilvl w:val="0"/>
          <w:numId w:val="18"/>
        </w:numPr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D1E47">
        <w:rPr>
          <w:rFonts w:asciiTheme="minorBidi" w:hAnsiTheme="minorBidi"/>
          <w:b/>
          <w:bCs/>
          <w:i/>
          <w:iCs/>
          <w:sz w:val="24"/>
          <w:szCs w:val="24"/>
        </w:rPr>
        <w:t>Soit le régime de traitement de la catégorie I : 2RHZE/4RH</w:t>
      </w:r>
    </w:p>
    <w:p w:rsidR="001D1E47" w:rsidRPr="001D1E47" w:rsidRDefault="001D1E47" w:rsidP="001D1E47">
      <w:pPr>
        <w:pStyle w:val="Paragraphedeliste"/>
        <w:numPr>
          <w:ilvl w:val="0"/>
          <w:numId w:val="18"/>
        </w:numPr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1D1E47">
        <w:rPr>
          <w:rFonts w:asciiTheme="minorBidi" w:hAnsiTheme="minorBidi"/>
          <w:b/>
          <w:bCs/>
          <w:i/>
          <w:iCs/>
          <w:sz w:val="24"/>
          <w:szCs w:val="24"/>
        </w:rPr>
        <w:t>Soit le régime de traitement de la catégorie III : 2RHZ/4RH</w:t>
      </w:r>
    </w:p>
    <w:sectPr w:rsidR="001D1E47" w:rsidRPr="001D1E47" w:rsidSect="00F212DB">
      <w:type w:val="continuous"/>
      <w:pgSz w:w="12240" w:h="15840" w:code="1"/>
      <w:pgMar w:top="993" w:right="1740" w:bottom="1110" w:left="179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642"/>
    <w:multiLevelType w:val="hybridMultilevel"/>
    <w:tmpl w:val="7576D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9E"/>
    <w:multiLevelType w:val="hybridMultilevel"/>
    <w:tmpl w:val="ADFE6DCA"/>
    <w:lvl w:ilvl="0" w:tplc="667289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6FC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1B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4FE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8D6E8">
      <w:start w:val="156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04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FA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08D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8F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C58D9"/>
    <w:multiLevelType w:val="hybridMultilevel"/>
    <w:tmpl w:val="B1A22A90"/>
    <w:lvl w:ilvl="0" w:tplc="489296BE">
      <w:start w:val="1"/>
      <w:numFmt w:val="bullet"/>
      <w:lvlText w:val="‐"/>
      <w:lvlJc w:val="left"/>
      <w:pPr>
        <w:ind w:left="86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D0E4C3A"/>
    <w:multiLevelType w:val="hybridMultilevel"/>
    <w:tmpl w:val="26E4438C"/>
    <w:lvl w:ilvl="0" w:tplc="13AC2566">
      <w:start w:val="1"/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ajorBid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B4326"/>
    <w:multiLevelType w:val="hybridMultilevel"/>
    <w:tmpl w:val="EC5AF1D2"/>
    <w:lvl w:ilvl="0" w:tplc="DB969088">
      <w:start w:val="1"/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6F2D"/>
    <w:multiLevelType w:val="hybridMultilevel"/>
    <w:tmpl w:val="C16E4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43D17"/>
    <w:multiLevelType w:val="hybridMultilevel"/>
    <w:tmpl w:val="C498823A"/>
    <w:lvl w:ilvl="0" w:tplc="6672891C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00FE2"/>
    <w:multiLevelType w:val="hybridMultilevel"/>
    <w:tmpl w:val="38209260"/>
    <w:lvl w:ilvl="0" w:tplc="644E91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6361"/>
    <w:multiLevelType w:val="hybridMultilevel"/>
    <w:tmpl w:val="1D467AEC"/>
    <w:lvl w:ilvl="0" w:tplc="13AC2566">
      <w:start w:val="1"/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ajorBid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F13"/>
    <w:multiLevelType w:val="hybridMultilevel"/>
    <w:tmpl w:val="C3FC124C"/>
    <w:lvl w:ilvl="0" w:tplc="AE92BC1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41AF"/>
    <w:multiLevelType w:val="hybridMultilevel"/>
    <w:tmpl w:val="23D05A82"/>
    <w:lvl w:ilvl="0" w:tplc="489296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48B"/>
    <w:multiLevelType w:val="hybridMultilevel"/>
    <w:tmpl w:val="76FAC126"/>
    <w:lvl w:ilvl="0" w:tplc="489296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46A7A"/>
    <w:multiLevelType w:val="hybridMultilevel"/>
    <w:tmpl w:val="52EA3516"/>
    <w:lvl w:ilvl="0" w:tplc="0EEE4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732AF"/>
    <w:multiLevelType w:val="hybridMultilevel"/>
    <w:tmpl w:val="BDF8778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0BD9"/>
    <w:multiLevelType w:val="hybridMultilevel"/>
    <w:tmpl w:val="4E6CF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816EE"/>
    <w:multiLevelType w:val="hybridMultilevel"/>
    <w:tmpl w:val="DEC49C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62428"/>
    <w:multiLevelType w:val="hybridMultilevel"/>
    <w:tmpl w:val="49E6815E"/>
    <w:lvl w:ilvl="0" w:tplc="644E91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B7A80"/>
    <w:multiLevelType w:val="hybridMultilevel"/>
    <w:tmpl w:val="B1767988"/>
    <w:lvl w:ilvl="0" w:tplc="1982D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6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E1B1D"/>
    <w:rsid w:val="00024DAC"/>
    <w:rsid w:val="001D1E47"/>
    <w:rsid w:val="002201BD"/>
    <w:rsid w:val="00262ACC"/>
    <w:rsid w:val="002F0A5F"/>
    <w:rsid w:val="004876DA"/>
    <w:rsid w:val="00547240"/>
    <w:rsid w:val="00563874"/>
    <w:rsid w:val="005A04C8"/>
    <w:rsid w:val="005B71C6"/>
    <w:rsid w:val="006A7B0D"/>
    <w:rsid w:val="008F1010"/>
    <w:rsid w:val="00B613D1"/>
    <w:rsid w:val="00B929C4"/>
    <w:rsid w:val="00C92348"/>
    <w:rsid w:val="00DB403D"/>
    <w:rsid w:val="00DE1B1D"/>
    <w:rsid w:val="00DF157F"/>
    <w:rsid w:val="00F2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D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348"/>
    <w:pPr>
      <w:spacing w:after="0" w:line="240" w:lineRule="auto"/>
    </w:pPr>
    <w:rPr>
      <w:rFonts w:asciiTheme="majorBidi" w:hAnsiTheme="majorBidi"/>
      <w:sz w:val="24"/>
    </w:rPr>
  </w:style>
  <w:style w:type="paragraph" w:styleId="Paragraphedeliste">
    <w:name w:val="List Paragraph"/>
    <w:basedOn w:val="Normal"/>
    <w:uiPriority w:val="34"/>
    <w:qFormat/>
    <w:rsid w:val="00DE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1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7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4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04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0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2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1</cp:revision>
  <dcterms:created xsi:type="dcterms:W3CDTF">2016-10-18T08:31:00Z</dcterms:created>
  <dcterms:modified xsi:type="dcterms:W3CDTF">2016-10-18T09:18:00Z</dcterms:modified>
</cp:coreProperties>
</file>