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F3" w:rsidRPr="004C7968" w:rsidRDefault="00C706F3">
      <w:pPr>
        <w:rPr>
          <w:sz w:val="24"/>
          <w:szCs w:val="24"/>
        </w:rPr>
      </w:pPr>
    </w:p>
    <w:p w:rsidR="00C706F3" w:rsidRPr="004C7968" w:rsidRDefault="00C706F3" w:rsidP="00944A79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FF0000"/>
          <w:sz w:val="32"/>
          <w:szCs w:val="32"/>
          <w:u w:val="single"/>
        </w:rPr>
      </w:pPr>
      <w:r w:rsidRPr="004C7968">
        <w:rPr>
          <w:rFonts w:ascii="ComicSansMS-Bold" w:hAnsi="ComicSansMS-Bold" w:cs="ComicSansMS-Bold"/>
          <w:b/>
          <w:bCs/>
          <w:color w:val="FF0000"/>
          <w:sz w:val="32"/>
          <w:szCs w:val="32"/>
          <w:u w:val="single"/>
        </w:rPr>
        <w:t>L'INFECTION TUBERCULEUSE</w:t>
      </w:r>
    </w:p>
    <w:p w:rsidR="00944A79" w:rsidRPr="004C7968" w:rsidRDefault="00944A79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4A79" w:rsidRPr="004C7968" w:rsidRDefault="00944A79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4C7968">
        <w:rPr>
          <w:rFonts w:ascii="Arial" w:hAnsi="Arial" w:cs="Arial"/>
          <w:color w:val="0070C0"/>
          <w:sz w:val="24"/>
          <w:szCs w:val="24"/>
          <w:u w:val="single"/>
        </w:rPr>
        <w:t xml:space="preserve">I- </w:t>
      </w:r>
      <w:r w:rsidRPr="004C7968">
        <w:rPr>
          <w:rFonts w:ascii="Arial,Bold" w:hAnsi="Arial,Bold" w:cs="Arial,Bold"/>
          <w:b/>
          <w:bCs/>
          <w:color w:val="0070C0"/>
          <w:sz w:val="24"/>
          <w:szCs w:val="24"/>
          <w:u w:val="single"/>
        </w:rPr>
        <w:t xml:space="preserve">INTRODUCTION </w:t>
      </w:r>
      <w:r w:rsidRPr="004C7968">
        <w:rPr>
          <w:rFonts w:ascii="Arial" w:hAnsi="Arial" w:cs="Arial"/>
          <w:color w:val="0070C0"/>
          <w:sz w:val="24"/>
          <w:szCs w:val="24"/>
          <w:u w:val="single"/>
        </w:rPr>
        <w:t>:</w:t>
      </w:r>
    </w:p>
    <w:p w:rsidR="00C706F3" w:rsidRPr="004C7968" w:rsidRDefault="00C706F3" w:rsidP="00944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L'infection tuberculeuse garde une place importante dans la pathologie actuelle et reste un </w:t>
      </w:r>
      <w:r w:rsidR="00944A79" w:rsidRPr="004C7968">
        <w:rPr>
          <w:rFonts w:ascii="Arial" w:hAnsi="Arial" w:cs="Arial"/>
          <w:color w:val="000000"/>
          <w:sz w:val="24"/>
          <w:szCs w:val="24"/>
        </w:rPr>
        <w:t xml:space="preserve">problème de santé publique en </w:t>
      </w:r>
      <w:r w:rsidRPr="004C7968">
        <w:rPr>
          <w:rFonts w:ascii="Arial" w:hAnsi="Arial" w:cs="Arial"/>
          <w:color w:val="000000"/>
          <w:sz w:val="24"/>
          <w:szCs w:val="24"/>
        </w:rPr>
        <w:t>Algérie.</w:t>
      </w:r>
    </w:p>
    <w:p w:rsidR="00C706F3" w:rsidRPr="004C7968" w:rsidRDefault="00C706F3" w:rsidP="00944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La transmission est </w:t>
      </w:r>
      <w:proofErr w:type="spellStart"/>
      <w:r w:rsidRPr="004C7968">
        <w:rPr>
          <w:rFonts w:ascii="Arial" w:hAnsi="Arial" w:cs="Arial"/>
          <w:color w:val="000000"/>
          <w:sz w:val="24"/>
          <w:szCs w:val="24"/>
        </w:rPr>
        <w:t>inter-humaine</w:t>
      </w:r>
      <w:proofErr w:type="spellEnd"/>
      <w:r w:rsidRPr="004C7968">
        <w:rPr>
          <w:rFonts w:ascii="Arial" w:hAnsi="Arial" w:cs="Arial"/>
          <w:color w:val="000000"/>
          <w:sz w:val="24"/>
          <w:szCs w:val="24"/>
        </w:rPr>
        <w:t xml:space="preserve"> et la 1ere pénétration du BK (</w:t>
      </w:r>
      <w:proofErr w:type="spellStart"/>
      <w:r w:rsidRPr="004C7968">
        <w:rPr>
          <w:rFonts w:ascii="Arial" w:hAnsi="Arial" w:cs="Arial"/>
          <w:color w:val="000000"/>
          <w:sz w:val="24"/>
          <w:szCs w:val="24"/>
        </w:rPr>
        <w:t>Mycobacterium</w:t>
      </w:r>
      <w:proofErr w:type="spellEnd"/>
      <w:r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968">
        <w:rPr>
          <w:rFonts w:ascii="Arial" w:hAnsi="Arial" w:cs="Arial"/>
          <w:color w:val="000000"/>
          <w:sz w:val="24"/>
          <w:szCs w:val="24"/>
        </w:rPr>
        <w:t>tuberculo</w:t>
      </w:r>
      <w:r w:rsidR="00944A79" w:rsidRPr="004C7968">
        <w:rPr>
          <w:rFonts w:ascii="Arial" w:hAnsi="Arial" w:cs="Arial"/>
          <w:color w:val="000000"/>
          <w:sz w:val="24"/>
          <w:szCs w:val="24"/>
        </w:rPr>
        <w:t>sis</w:t>
      </w:r>
      <w:proofErr w:type="spellEnd"/>
      <w:r w:rsidR="00944A79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44A79" w:rsidRPr="004C7968">
        <w:rPr>
          <w:rFonts w:ascii="Arial" w:hAnsi="Arial" w:cs="Arial"/>
          <w:color w:val="000000"/>
          <w:sz w:val="24"/>
          <w:szCs w:val="24"/>
        </w:rPr>
        <w:t>hominis</w:t>
      </w:r>
      <w:proofErr w:type="spellEnd"/>
      <w:r w:rsidR="00944A79" w:rsidRPr="004C7968">
        <w:rPr>
          <w:rFonts w:ascii="Arial" w:hAnsi="Arial" w:cs="Arial"/>
          <w:color w:val="000000"/>
          <w:sz w:val="24"/>
          <w:szCs w:val="24"/>
        </w:rPr>
        <w:t xml:space="preserve"> ou Bacille de Koch)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dans un organisme </w:t>
      </w:r>
      <w:proofErr w:type="spellStart"/>
      <w:r w:rsidRPr="004C7968">
        <w:rPr>
          <w:rFonts w:ascii="Arial" w:hAnsi="Arial" w:cs="Arial"/>
          <w:color w:val="000000"/>
          <w:sz w:val="24"/>
          <w:szCs w:val="24"/>
        </w:rPr>
        <w:t>jusque là</w:t>
      </w:r>
      <w:proofErr w:type="spellEnd"/>
      <w:r w:rsidRPr="004C7968">
        <w:rPr>
          <w:rFonts w:ascii="Arial" w:hAnsi="Arial" w:cs="Arial"/>
          <w:color w:val="000000"/>
          <w:sz w:val="24"/>
          <w:szCs w:val="24"/>
        </w:rPr>
        <w:t xml:space="preserve"> indemne de tout contact antérieur entraîne: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Des modifications histologiques.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Des modifications biologiques.</w:t>
      </w:r>
    </w:p>
    <w:p w:rsidR="00944A79" w:rsidRPr="004C7968" w:rsidRDefault="00944A79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1BF6" w:rsidRPr="004C7968" w:rsidRDefault="00C706F3" w:rsidP="00C91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4C7968">
        <w:rPr>
          <w:rFonts w:ascii="Arial" w:hAnsi="Arial" w:cs="Arial"/>
          <w:color w:val="0070C0"/>
          <w:sz w:val="24"/>
          <w:szCs w:val="24"/>
          <w:u w:val="single"/>
        </w:rPr>
        <w:t xml:space="preserve">II- </w:t>
      </w:r>
      <w:r w:rsidRPr="004C7968">
        <w:rPr>
          <w:rFonts w:ascii="Arial,Bold" w:hAnsi="Arial,Bold" w:cs="Arial,Bold"/>
          <w:b/>
          <w:bCs/>
          <w:color w:val="0070C0"/>
          <w:sz w:val="24"/>
          <w:szCs w:val="24"/>
          <w:u w:val="single"/>
        </w:rPr>
        <w:t xml:space="preserve">EPIDEMIOLOGIE </w:t>
      </w:r>
      <w:r w:rsidRPr="004C7968">
        <w:rPr>
          <w:rFonts w:ascii="Arial" w:hAnsi="Arial" w:cs="Arial"/>
          <w:color w:val="0070C0"/>
          <w:sz w:val="24"/>
          <w:szCs w:val="24"/>
          <w:u w:val="single"/>
        </w:rPr>
        <w:t>:</w:t>
      </w:r>
    </w:p>
    <w:p w:rsidR="00C91BF6" w:rsidRPr="004C7968" w:rsidRDefault="00C91BF6" w:rsidP="00C91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4C7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* dans le monde : </w:t>
      </w:r>
    </w:p>
    <w:p w:rsidR="00C91BF6" w:rsidRPr="004C7968" w:rsidRDefault="00C91BF6" w:rsidP="00C91B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un tiers de la population de la planète est infectée par le BK (environ 2 milliards d’individus)</w:t>
      </w:r>
    </w:p>
    <w:p w:rsidR="00C91BF6" w:rsidRPr="004C7968" w:rsidRDefault="00C91BF6" w:rsidP="00C91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7030A0"/>
          <w:sz w:val="24"/>
          <w:szCs w:val="24"/>
        </w:rPr>
        <w:t xml:space="preserve">- l’incidence : </w:t>
      </w:r>
      <w:r w:rsidRPr="004C7968">
        <w:rPr>
          <w:rFonts w:ascii="Arial" w:hAnsi="Arial" w:cs="Arial"/>
          <w:color w:val="000000" w:themeColor="text1"/>
          <w:sz w:val="24"/>
          <w:szCs w:val="24"/>
        </w:rPr>
        <w:t>08 millions de nouveaux cas/ an dans le monde</w:t>
      </w:r>
    </w:p>
    <w:p w:rsidR="00C91BF6" w:rsidRPr="004C7968" w:rsidRDefault="00C91BF6" w:rsidP="00C91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4C7968">
        <w:rPr>
          <w:rFonts w:ascii="Arial" w:hAnsi="Arial" w:cs="Arial"/>
          <w:color w:val="7030A0"/>
          <w:sz w:val="24"/>
          <w:szCs w:val="24"/>
        </w:rPr>
        <w:t xml:space="preserve">la prévalence : </w:t>
      </w:r>
      <w:r w:rsidRPr="004C7968">
        <w:rPr>
          <w:rFonts w:ascii="Arial" w:hAnsi="Arial" w:cs="Arial"/>
          <w:color w:val="000000" w:themeColor="text1"/>
          <w:sz w:val="24"/>
          <w:szCs w:val="24"/>
        </w:rPr>
        <w:t>entre 16 et 20 millions de cas</w:t>
      </w:r>
    </w:p>
    <w:p w:rsidR="00000000" w:rsidRPr="004C7968" w:rsidRDefault="00C91BF6" w:rsidP="00C91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7030A0"/>
          <w:sz w:val="24"/>
          <w:szCs w:val="24"/>
        </w:rPr>
        <w:t xml:space="preserve">- la mortalité : </w:t>
      </w: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03 millions </w:t>
      </w:r>
    </w:p>
    <w:p w:rsidR="00C91BF6" w:rsidRPr="004C7968" w:rsidRDefault="00C91BF6" w:rsidP="00C7619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cinquième cause de décès après les maladies cardio-vasculaires, les infections respiratoires aiguës, le cancer et les maladies diarrhéiques).</w:t>
      </w:r>
    </w:p>
    <w:p w:rsidR="00C91BF6" w:rsidRPr="004C7968" w:rsidRDefault="00C91BF6" w:rsidP="00C7619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A la progression de la maladie s’ajoute une diffusion croissante de bacilles </w:t>
      </w:r>
      <w:proofErr w:type="spellStart"/>
      <w:r w:rsidRPr="004C7968">
        <w:rPr>
          <w:rFonts w:ascii="Arial" w:hAnsi="Arial" w:cs="Arial"/>
          <w:color w:val="000000" w:themeColor="text1"/>
          <w:sz w:val="24"/>
          <w:szCs w:val="24"/>
        </w:rPr>
        <w:t>multirésistants</w:t>
      </w:r>
      <w:proofErr w:type="spellEnd"/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 aux antibiotiques</w:t>
      </w:r>
    </w:p>
    <w:p w:rsidR="00B75CCB" w:rsidRPr="004C7968" w:rsidRDefault="006F0FD6" w:rsidP="004C7968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FF0000"/>
          <w:sz w:val="24"/>
          <w:szCs w:val="24"/>
        </w:rPr>
      </w:pPr>
      <w:r w:rsidRPr="004C7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*</w:t>
      </w:r>
      <w:r w:rsidR="00B75CCB" w:rsidRPr="004C7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En  Algérie:</w:t>
      </w:r>
    </w:p>
    <w:p w:rsidR="00000000" w:rsidRPr="004C7968" w:rsidRDefault="00B75CCB" w:rsidP="00B75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Sur les 22.153 cas de tuberculose diagnostiqués en 2014</w:t>
      </w:r>
    </w:p>
    <w:p w:rsidR="00000000" w:rsidRPr="004C7968" w:rsidRDefault="00B75CCB" w:rsidP="00B75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pulmonaires: 8.445, soit 38,1 %</w:t>
      </w:r>
    </w:p>
    <w:p w:rsidR="00000000" w:rsidRPr="004C7968" w:rsidRDefault="00B75CCB" w:rsidP="00B75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extra pulmonaires: 13.708  soit 61,9 %.</w:t>
      </w:r>
    </w:p>
    <w:p w:rsidR="00000000" w:rsidRPr="004C7968" w:rsidRDefault="00B75CCB" w:rsidP="00B75C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Si la tuberculose pulmonaire contagieuse a baissé de 10 cas sur 100.000 habitants depuis 2001, la tuberculose extra pulmonaire a enregistré une progression et a atteint un niveau relativement élevé:</w:t>
      </w:r>
    </w:p>
    <w:p w:rsidR="00B75CCB" w:rsidRPr="004C7968" w:rsidRDefault="00B75CCB" w:rsidP="00B75C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8363" w:type="dxa"/>
        <w:tblInd w:w="817" w:type="dxa"/>
        <w:tblLook w:val="04A0" w:firstRow="1" w:lastRow="0" w:firstColumn="1" w:lastColumn="0" w:noHBand="0" w:noVBand="1"/>
      </w:tblPr>
      <w:tblGrid>
        <w:gridCol w:w="4092"/>
        <w:gridCol w:w="2224"/>
        <w:gridCol w:w="2047"/>
      </w:tblGrid>
      <w:tr w:rsidR="00B75CCB" w:rsidRPr="004C7968" w:rsidTr="00A156DC">
        <w:trPr>
          <w:trHeight w:val="425"/>
        </w:trPr>
        <w:tc>
          <w:tcPr>
            <w:tcW w:w="8363" w:type="dxa"/>
            <w:gridSpan w:val="3"/>
            <w:hideMark/>
          </w:tcPr>
          <w:p w:rsidR="00000000" w:rsidRPr="004C7968" w:rsidRDefault="00B75CCB" w:rsidP="00A156DC">
            <w:pPr>
              <w:autoSpaceDE w:val="0"/>
              <w:autoSpaceDN w:val="0"/>
              <w:adjustRightInd w:val="0"/>
              <w:ind w:left="360" w:right="-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incidence de la tuberculose en Algérie</w:t>
            </w:r>
          </w:p>
        </w:tc>
      </w:tr>
      <w:tr w:rsidR="00B75CCB" w:rsidRPr="004C7968" w:rsidTr="00A156DC">
        <w:trPr>
          <w:trHeight w:val="425"/>
        </w:trPr>
        <w:tc>
          <w:tcPr>
            <w:tcW w:w="4092" w:type="dxa"/>
            <w:hideMark/>
          </w:tcPr>
          <w:p w:rsidR="00B75CCB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2047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B75CCB" w:rsidRPr="004C7968" w:rsidTr="00A156DC">
        <w:trPr>
          <w:trHeight w:val="502"/>
        </w:trPr>
        <w:tc>
          <w:tcPr>
            <w:tcW w:w="4092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Tuberculose pulmonaire</w:t>
            </w:r>
          </w:p>
        </w:tc>
        <w:tc>
          <w:tcPr>
            <w:tcW w:w="2224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2047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17, 5</w:t>
            </w:r>
          </w:p>
        </w:tc>
      </w:tr>
      <w:tr w:rsidR="00B75CCB" w:rsidRPr="004C7968" w:rsidTr="00A156DC">
        <w:trPr>
          <w:trHeight w:val="590"/>
        </w:trPr>
        <w:tc>
          <w:tcPr>
            <w:tcW w:w="4092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Tuberculose extra-pulmonaire</w:t>
            </w:r>
          </w:p>
        </w:tc>
        <w:tc>
          <w:tcPr>
            <w:tcW w:w="2224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26,9 </w:t>
            </w:r>
          </w:p>
        </w:tc>
        <w:tc>
          <w:tcPr>
            <w:tcW w:w="2047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35,4</w:t>
            </w:r>
          </w:p>
        </w:tc>
      </w:tr>
      <w:tr w:rsidR="00B75CCB" w:rsidRPr="004C7968" w:rsidTr="00A156DC">
        <w:trPr>
          <w:trHeight w:val="425"/>
        </w:trPr>
        <w:tc>
          <w:tcPr>
            <w:tcW w:w="4092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Toutes formes confondues</w:t>
            </w:r>
          </w:p>
        </w:tc>
        <w:tc>
          <w:tcPr>
            <w:tcW w:w="2224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2047" w:type="dxa"/>
            <w:hideMark/>
          </w:tcPr>
          <w:p w:rsidR="00000000" w:rsidRPr="004C7968" w:rsidRDefault="00B75CCB" w:rsidP="00B75CC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57,2</w:t>
            </w:r>
          </w:p>
        </w:tc>
      </w:tr>
    </w:tbl>
    <w:p w:rsidR="00B75CCB" w:rsidRPr="004C7968" w:rsidRDefault="00B75CCB" w:rsidP="00B75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0000" w:rsidRPr="004C7968" w:rsidRDefault="00B75CCB" w:rsidP="004C796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l’Algérie se place en incidence "moyenne" sur le plan mondial,</w:t>
      </w:r>
    </w:p>
    <w:p w:rsidR="00000000" w:rsidRPr="004C7968" w:rsidRDefault="00B75CCB" w:rsidP="004C7968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 même si la tendance de la tuberculose pulmonaire a été inversée vers la baisse, la tuberculose extra pulmonaire est aujourd’hui </w:t>
      </w:r>
      <w:proofErr w:type="gramStart"/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un défis </w:t>
      </w:r>
      <w:proofErr w:type="gramEnd"/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 à relever.</w:t>
      </w:r>
    </w:p>
    <w:p w:rsidR="00000000" w:rsidRPr="004C7968" w:rsidRDefault="00B75CCB" w:rsidP="004C7968">
      <w:pPr>
        <w:pStyle w:val="Paragraphedeliste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La localisation la plus fréquente de la tuberculose extra pulmonaire est ganglionnaire</w:t>
      </w:r>
    </w:p>
    <w:p w:rsidR="00503CC8" w:rsidRPr="004C7968" w:rsidRDefault="00503CC8" w:rsidP="00503C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03CC8" w:rsidRPr="004C7968" w:rsidRDefault="00503CC8" w:rsidP="00503C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76194" w:rsidRPr="004C7968" w:rsidRDefault="00C76194" w:rsidP="00C7619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</w:p>
    <w:p w:rsidR="001815E4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 xml:space="preserve">Source de contamination </w:t>
      </w:r>
      <w:r w:rsidRPr="004C7968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56DC" w:rsidRDefault="001815E4" w:rsidP="00A15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-</w:t>
      </w:r>
      <w:r w:rsidR="00C706F3" w:rsidRPr="004C7968">
        <w:rPr>
          <w:rFonts w:ascii="Arial" w:hAnsi="Arial" w:cs="Arial"/>
          <w:color w:val="000000"/>
          <w:sz w:val="24"/>
          <w:szCs w:val="24"/>
        </w:rPr>
        <w:t>Le contage est essentiellement humain. Les BK sont co</w:t>
      </w:r>
      <w:r w:rsidR="00A156DC">
        <w:rPr>
          <w:rFonts w:ascii="Arial" w:hAnsi="Arial" w:cs="Arial"/>
          <w:color w:val="000000"/>
          <w:sz w:val="24"/>
          <w:szCs w:val="24"/>
        </w:rPr>
        <w:t xml:space="preserve">ntenus dans les gouttelettes de </w:t>
      </w:r>
      <w:r w:rsidR="00C706F3" w:rsidRPr="004C7968">
        <w:rPr>
          <w:rFonts w:ascii="Arial" w:hAnsi="Arial" w:cs="Arial"/>
          <w:color w:val="000000"/>
          <w:sz w:val="24"/>
          <w:szCs w:val="24"/>
        </w:rPr>
        <w:t>salive qui sont projetées par les sujets bacillaires en parlant, en toussant</w:t>
      </w:r>
    </w:p>
    <w:p w:rsidR="00C706F3" w:rsidRPr="004C7968" w:rsidRDefault="00C706F3" w:rsidP="00A15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C7968">
        <w:rPr>
          <w:rFonts w:ascii="Arial" w:hAnsi="Arial" w:cs="Arial"/>
          <w:color w:val="000000"/>
          <w:sz w:val="24"/>
          <w:szCs w:val="24"/>
        </w:rPr>
        <w:t>ou</w:t>
      </w:r>
      <w:proofErr w:type="gramEnd"/>
      <w:r w:rsidRPr="004C7968">
        <w:rPr>
          <w:rFonts w:ascii="Arial" w:hAnsi="Arial" w:cs="Arial"/>
          <w:color w:val="000000"/>
          <w:sz w:val="24"/>
          <w:szCs w:val="24"/>
        </w:rPr>
        <w:t xml:space="preserve"> en éternuant.</w:t>
      </w:r>
    </w:p>
    <w:p w:rsidR="00C706F3" w:rsidRPr="004C7968" w:rsidRDefault="001815E4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-</w:t>
      </w:r>
      <w:r w:rsidR="00C706F3" w:rsidRPr="004C7968">
        <w:rPr>
          <w:rFonts w:ascii="Arial" w:hAnsi="Arial" w:cs="Arial"/>
          <w:color w:val="000000"/>
          <w:sz w:val="24"/>
          <w:szCs w:val="24"/>
        </w:rPr>
        <w:t>Le contage animal est possible surtout bovin via le lait (</w:t>
      </w:r>
      <w:proofErr w:type="spellStart"/>
      <w:r w:rsidR="00C706F3" w:rsidRPr="004C7968">
        <w:rPr>
          <w:rFonts w:ascii="Arial" w:hAnsi="Arial" w:cs="Arial"/>
          <w:color w:val="000000"/>
          <w:sz w:val="24"/>
          <w:szCs w:val="24"/>
        </w:rPr>
        <w:t>Mycobacterium</w:t>
      </w:r>
      <w:proofErr w:type="spellEnd"/>
      <w:r w:rsidR="00C706F3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706F3" w:rsidRPr="004C7968"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 w:rsidR="00C706F3" w:rsidRPr="004C7968">
        <w:rPr>
          <w:rFonts w:ascii="Arial" w:hAnsi="Arial" w:cs="Arial"/>
          <w:color w:val="000000"/>
          <w:sz w:val="24"/>
          <w:szCs w:val="24"/>
        </w:rPr>
        <w:t>.)</w:t>
      </w:r>
    </w:p>
    <w:p w:rsidR="00C706F3" w:rsidRPr="004C7968" w:rsidRDefault="001815E4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-</w:t>
      </w:r>
      <w:r w:rsidR="00C706F3" w:rsidRPr="004C7968">
        <w:rPr>
          <w:rFonts w:ascii="Arial" w:hAnsi="Arial" w:cs="Arial"/>
          <w:color w:val="000000"/>
          <w:sz w:val="24"/>
          <w:szCs w:val="24"/>
        </w:rPr>
        <w:t>Il existe aussi une contamination indirecte par les objets souillés.</w:t>
      </w:r>
    </w:p>
    <w:p w:rsidR="001815E4" w:rsidRPr="004C7968" w:rsidRDefault="001815E4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C796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C7968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 xml:space="preserve">Voies de contamination </w:t>
      </w:r>
      <w:r w:rsidRPr="004C7968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􀂾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La voie aérienne essentiellement.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􀂾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La voie digestive.</w:t>
      </w:r>
    </w:p>
    <w:p w:rsidR="00C706F3" w:rsidRPr="004C7968" w:rsidRDefault="00C706F3" w:rsidP="001815E4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􀂾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La voie </w:t>
      </w:r>
      <w:proofErr w:type="spellStart"/>
      <w:r w:rsidRPr="004C7968">
        <w:rPr>
          <w:rFonts w:ascii="Arial" w:hAnsi="Arial" w:cs="Arial"/>
          <w:color w:val="000000"/>
          <w:sz w:val="24"/>
          <w:szCs w:val="24"/>
        </w:rPr>
        <w:t>cutanéo-muqueuse</w:t>
      </w:r>
      <w:proofErr w:type="spellEnd"/>
      <w:r w:rsidRPr="004C7968">
        <w:rPr>
          <w:rFonts w:ascii="Arial" w:hAnsi="Arial" w:cs="Arial"/>
          <w:color w:val="000000"/>
          <w:sz w:val="24"/>
          <w:szCs w:val="24"/>
        </w:rPr>
        <w:t xml:space="preserve"> (conjonctivale oculaire, pharyngée, amygd</w:t>
      </w:r>
      <w:r w:rsidR="001815E4" w:rsidRPr="004C7968">
        <w:rPr>
          <w:rFonts w:ascii="Arial" w:hAnsi="Arial" w:cs="Arial"/>
          <w:color w:val="000000"/>
          <w:sz w:val="24"/>
          <w:szCs w:val="24"/>
        </w:rPr>
        <w:t>alienne, cutanée et génitales.) e</w:t>
      </w:r>
      <w:r w:rsidRPr="004C7968">
        <w:rPr>
          <w:rFonts w:ascii="Arial" w:hAnsi="Arial" w:cs="Arial"/>
          <w:color w:val="000000"/>
          <w:sz w:val="24"/>
          <w:szCs w:val="24"/>
        </w:rPr>
        <w:t>xceptionnelle.</w:t>
      </w:r>
    </w:p>
    <w:p w:rsidR="001815E4" w:rsidRPr="004C7968" w:rsidRDefault="001815E4" w:rsidP="001815E4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</w:p>
    <w:p w:rsidR="001815E4" w:rsidRPr="004C7968" w:rsidRDefault="001815E4" w:rsidP="001815E4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</w:p>
    <w:p w:rsidR="00C706F3" w:rsidRPr="00A156DC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156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III- </w:t>
      </w:r>
      <w:r w:rsidRPr="00A156DC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MODIFICATIONS HISTOLOGIQUES </w:t>
      </w:r>
      <w:r w:rsidRPr="00A156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C706F3" w:rsidRPr="004C7968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La pénétration du BK n'entraîne pas de réactions tissulaires immédiates. Il se multiplie d'abord </w:t>
      </w:r>
      <w:r w:rsidRPr="004C7968">
        <w:rPr>
          <w:rFonts w:ascii="Arial,Italic" w:hAnsi="Arial,Italic" w:cs="Arial,Italic"/>
          <w:i/>
          <w:iCs/>
          <w:color w:val="000000"/>
          <w:sz w:val="24"/>
          <w:szCs w:val="24"/>
        </w:rPr>
        <w:t>in situ</w:t>
      </w:r>
      <w:r w:rsidRPr="004C7968">
        <w:rPr>
          <w:rFonts w:ascii="Arial" w:hAnsi="Arial" w:cs="Arial"/>
          <w:color w:val="000000"/>
          <w:sz w:val="24"/>
          <w:szCs w:val="24"/>
        </w:rPr>
        <w:t>.</w:t>
      </w:r>
    </w:p>
    <w:p w:rsidR="00C706F3" w:rsidRPr="004C7968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Les lésions histologiques provoquées par le Bacille </w:t>
      </w:r>
      <w:proofErr w:type="spellStart"/>
      <w:r w:rsidRPr="004C7968">
        <w:rPr>
          <w:rFonts w:ascii="Arial" w:hAnsi="Arial" w:cs="Arial"/>
          <w:color w:val="000000"/>
          <w:sz w:val="24"/>
          <w:szCs w:val="24"/>
        </w:rPr>
        <w:t>tuberculosis</w:t>
      </w:r>
      <w:proofErr w:type="spellEnd"/>
      <w:r w:rsidRPr="004C7968">
        <w:rPr>
          <w:rFonts w:ascii="Arial" w:hAnsi="Arial" w:cs="Arial"/>
          <w:color w:val="000000"/>
          <w:sz w:val="24"/>
          <w:szCs w:val="24"/>
        </w:rPr>
        <w:t xml:space="preserve"> lors de la primo-infection sont le </w:t>
      </w:r>
      <w:r w:rsidRPr="004C7968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chancre d'inoculation </w:t>
      </w:r>
      <w:r w:rsidR="00B86950" w:rsidRPr="004C7968">
        <w:rPr>
          <w:rFonts w:ascii="Arial" w:hAnsi="Arial" w:cs="Arial"/>
          <w:color w:val="000000"/>
          <w:sz w:val="24"/>
          <w:szCs w:val="24"/>
        </w:rPr>
        <w:t xml:space="preserve">et la  </w:t>
      </w:r>
      <w:r w:rsidRPr="004C7968">
        <w:rPr>
          <w:rFonts w:ascii="Arial,Italic" w:hAnsi="Arial,Italic" w:cs="Arial,Italic"/>
          <w:i/>
          <w:iCs/>
          <w:color w:val="000000"/>
          <w:sz w:val="24"/>
          <w:szCs w:val="24"/>
        </w:rPr>
        <w:t>nécrose caséeuse</w:t>
      </w:r>
      <w:r w:rsidRPr="004C7968">
        <w:rPr>
          <w:rFonts w:ascii="Arial" w:hAnsi="Arial" w:cs="Arial"/>
          <w:color w:val="000000"/>
          <w:sz w:val="24"/>
          <w:szCs w:val="24"/>
        </w:rPr>
        <w:t>.</w:t>
      </w:r>
    </w:p>
    <w:p w:rsidR="00C706F3" w:rsidRPr="004C7968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7968">
        <w:rPr>
          <w:rFonts w:ascii="Arial" w:hAnsi="Arial" w:cs="Arial"/>
          <w:sz w:val="24"/>
          <w:szCs w:val="24"/>
        </w:rPr>
        <w:t xml:space="preserve">Les lésions sont d'abord de type </w:t>
      </w:r>
      <w:r w:rsidRPr="004C7968">
        <w:rPr>
          <w:rFonts w:ascii="Arial,Bold" w:hAnsi="Arial,Bold" w:cs="Arial,Bold"/>
          <w:sz w:val="24"/>
          <w:szCs w:val="24"/>
        </w:rPr>
        <w:t>exsudatives inflammatoires non-spécifiques</w:t>
      </w:r>
      <w:r w:rsidRPr="004C7968">
        <w:rPr>
          <w:rFonts w:ascii="Arial" w:hAnsi="Arial" w:cs="Arial"/>
          <w:sz w:val="24"/>
          <w:szCs w:val="24"/>
        </w:rPr>
        <w:t>.</w:t>
      </w:r>
    </w:p>
    <w:p w:rsidR="00C706F3" w:rsidRPr="004C7968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Puis à partir de ces lésions, ils migrent et diffusent dans tous les viscères (foie, rein, rate, etc.)</w:t>
      </w:r>
    </w:p>
    <w:p w:rsidR="00B86950" w:rsidRPr="004C7968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Au moment où les réactions de l'hôte seront déclenchées, les anticorps cellulaires provoqueront une importante réaction</w:t>
      </w:r>
      <w:r w:rsidR="00B86950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tissulaire arrêtant la diffusion bacillaire. </w:t>
      </w:r>
    </w:p>
    <w:p w:rsidR="00C706F3" w:rsidRPr="004C7968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Certains BK seront alors détruits mais d'autres survivront dans les tissus.</w:t>
      </w:r>
    </w:p>
    <w:p w:rsidR="00C706F3" w:rsidRPr="004C7968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Ceux qui persistent sont à l'état quiescent (végétatif) mais ils peuvent proliférer à l'occasion d'une baisse de l'immunité</w:t>
      </w:r>
      <w:r w:rsidR="00B86950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(malnutrition, fatigue, traitement immunodépresseur, etc.) Et déclencher des troubles ultérieurs.</w:t>
      </w:r>
    </w:p>
    <w:p w:rsidR="00C706F3" w:rsidRPr="004C7968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7968">
        <w:rPr>
          <w:rFonts w:ascii="Arial" w:hAnsi="Arial" w:cs="Arial"/>
          <w:sz w:val="24"/>
          <w:szCs w:val="24"/>
        </w:rPr>
        <w:t xml:space="preserve">Une </w:t>
      </w:r>
      <w:r w:rsidRPr="004C7968">
        <w:rPr>
          <w:rFonts w:ascii="Arial,Bold" w:hAnsi="Arial,Bold" w:cs="Arial,Bold"/>
          <w:sz w:val="24"/>
          <w:szCs w:val="24"/>
        </w:rPr>
        <w:t xml:space="preserve">nécrose caséeuse </w:t>
      </w:r>
      <w:r w:rsidRPr="004C7968">
        <w:rPr>
          <w:rFonts w:ascii="Arial" w:hAnsi="Arial" w:cs="Arial"/>
          <w:sz w:val="24"/>
          <w:szCs w:val="24"/>
        </w:rPr>
        <w:t>suit l'inflammation.</w:t>
      </w:r>
    </w:p>
    <w:p w:rsidR="0064182F" w:rsidRPr="00704FD2" w:rsidRDefault="00C706F3" w:rsidP="006418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04FD2">
        <w:rPr>
          <w:rFonts w:ascii="Arial" w:hAnsi="Arial" w:cs="Arial"/>
          <w:color w:val="000000"/>
          <w:sz w:val="24"/>
          <w:szCs w:val="24"/>
        </w:rPr>
        <w:t xml:space="preserve">Puis survient un remaniement folliculaire fait de cellules géantes, de cellules </w:t>
      </w:r>
      <w:proofErr w:type="spellStart"/>
      <w:r w:rsidRPr="00704FD2">
        <w:rPr>
          <w:rFonts w:ascii="Arial" w:hAnsi="Arial" w:cs="Arial"/>
          <w:color w:val="000000"/>
          <w:sz w:val="24"/>
          <w:szCs w:val="24"/>
        </w:rPr>
        <w:t>épithélioïdes</w:t>
      </w:r>
      <w:proofErr w:type="spellEnd"/>
      <w:r w:rsidRPr="00704FD2">
        <w:rPr>
          <w:rFonts w:ascii="Arial" w:hAnsi="Arial" w:cs="Arial"/>
          <w:color w:val="000000"/>
          <w:sz w:val="24"/>
          <w:szCs w:val="24"/>
        </w:rPr>
        <w:t xml:space="preserve"> et de lymphocytes réalisant le</w:t>
      </w:r>
      <w:r w:rsidR="0064182F" w:rsidRPr="00704F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4FD2">
        <w:rPr>
          <w:rFonts w:ascii="Arial,Bold" w:hAnsi="Arial,Bold" w:cs="Arial,Bold"/>
          <w:sz w:val="24"/>
          <w:szCs w:val="24"/>
        </w:rPr>
        <w:t xml:space="preserve">Follicule </w:t>
      </w:r>
      <w:proofErr w:type="spellStart"/>
      <w:r w:rsidRPr="00704FD2">
        <w:rPr>
          <w:rFonts w:ascii="Arial,Bold" w:hAnsi="Arial,Bold" w:cs="Arial,Bold"/>
          <w:sz w:val="24"/>
          <w:szCs w:val="24"/>
        </w:rPr>
        <w:t>épithélio</w:t>
      </w:r>
      <w:proofErr w:type="spellEnd"/>
      <w:r w:rsidRPr="00704FD2">
        <w:rPr>
          <w:rFonts w:ascii="Arial,Bold" w:hAnsi="Arial,Bold" w:cs="Arial,Bold"/>
          <w:sz w:val="24"/>
          <w:szCs w:val="24"/>
        </w:rPr>
        <w:t>-</w:t>
      </w:r>
      <w:proofErr w:type="spellStart"/>
      <w:r w:rsidRPr="00704FD2">
        <w:rPr>
          <w:rFonts w:ascii="Arial,Bold" w:hAnsi="Arial,Bold" w:cs="Arial,Bold"/>
          <w:sz w:val="24"/>
          <w:szCs w:val="24"/>
        </w:rPr>
        <w:t>giganto-cellulaire</w:t>
      </w:r>
      <w:proofErr w:type="spellEnd"/>
      <w:r w:rsidRPr="00704FD2">
        <w:rPr>
          <w:rFonts w:ascii="Arial,Bold" w:hAnsi="Arial,Bold" w:cs="Arial,Bold"/>
          <w:sz w:val="24"/>
          <w:szCs w:val="24"/>
        </w:rPr>
        <w:t xml:space="preserve"> </w:t>
      </w:r>
      <w:r w:rsidR="00704FD2" w:rsidRPr="00704FD2">
        <w:rPr>
          <w:rFonts w:ascii="Arial,Bold" w:hAnsi="Arial,Bold" w:cs="Arial,Bold"/>
          <w:sz w:val="24"/>
          <w:szCs w:val="24"/>
        </w:rPr>
        <w:t xml:space="preserve">de KOESTER </w:t>
      </w:r>
      <w:r w:rsidRPr="00704FD2">
        <w:rPr>
          <w:rFonts w:ascii="Arial" w:hAnsi="Arial" w:cs="Arial"/>
          <w:sz w:val="24"/>
          <w:szCs w:val="24"/>
        </w:rPr>
        <w:t xml:space="preserve">centré par la nécrose qui est la lésion tuberculeuse spécifique 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L'évolution </w:t>
      </w:r>
      <w:r w:rsidRPr="004C7968">
        <w:rPr>
          <w:rFonts w:ascii="Arial" w:hAnsi="Arial" w:cs="Arial"/>
          <w:color w:val="000000"/>
          <w:sz w:val="24"/>
          <w:szCs w:val="24"/>
        </w:rPr>
        <w:t>favorable se fera vers la limitation, l'enkystement et la sclérose avec ou sans calcification de nécrose.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L'évolution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défavorable se fera vers la dissémination et l'extension des BK avec </w:t>
      </w:r>
      <w:proofErr w:type="gramStart"/>
      <w:r w:rsidRPr="004C7968">
        <w:rPr>
          <w:rFonts w:ascii="Arial" w:hAnsi="Arial" w:cs="Arial"/>
          <w:color w:val="000000"/>
          <w:sz w:val="24"/>
          <w:szCs w:val="24"/>
        </w:rPr>
        <w:t>surinfections</w:t>
      </w:r>
      <w:proofErr w:type="gramEnd"/>
      <w:r w:rsidRPr="004C7968">
        <w:rPr>
          <w:rFonts w:ascii="Arial" w:hAnsi="Arial" w:cs="Arial"/>
          <w:color w:val="000000"/>
          <w:sz w:val="24"/>
          <w:szCs w:val="24"/>
        </w:rPr>
        <w:t>.</w:t>
      </w:r>
    </w:p>
    <w:p w:rsidR="0064182F" w:rsidRPr="004C7968" w:rsidRDefault="0064182F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0C92" w:rsidRDefault="00E40C92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E40C92" w:rsidRDefault="00E40C92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E40C92" w:rsidRDefault="00E40C92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E40C92" w:rsidRDefault="00E40C92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E40C92" w:rsidRDefault="00E40C92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E40C92" w:rsidRDefault="00E40C92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E40C92" w:rsidRDefault="00E40C92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4C7968">
        <w:rPr>
          <w:rFonts w:ascii="Arial" w:hAnsi="Arial" w:cs="Arial"/>
          <w:color w:val="0070C0"/>
          <w:sz w:val="24"/>
          <w:szCs w:val="24"/>
          <w:u w:val="single"/>
        </w:rPr>
        <w:lastRenderedPageBreak/>
        <w:t xml:space="preserve">IV- </w:t>
      </w:r>
      <w:r w:rsidRPr="004C7968">
        <w:rPr>
          <w:rFonts w:ascii="Arial,Bold" w:hAnsi="Arial,Bold" w:cs="Arial,Bold"/>
          <w:b/>
          <w:bCs/>
          <w:color w:val="0070C0"/>
          <w:sz w:val="24"/>
          <w:szCs w:val="24"/>
          <w:u w:val="single"/>
        </w:rPr>
        <w:t xml:space="preserve">MODIFICATIONS BIOLOGIQUES </w:t>
      </w:r>
      <w:r w:rsidRPr="004C7968">
        <w:rPr>
          <w:rFonts w:ascii="Arial" w:hAnsi="Arial" w:cs="Arial"/>
          <w:color w:val="0070C0"/>
          <w:sz w:val="24"/>
          <w:szCs w:val="24"/>
          <w:u w:val="single"/>
        </w:rPr>
        <w:t>:</w:t>
      </w:r>
    </w:p>
    <w:p w:rsidR="0064182F" w:rsidRPr="004C7968" w:rsidRDefault="00C706F3" w:rsidP="006418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C7968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>L'immunité</w:t>
      </w:r>
      <w:r w:rsidRPr="004C7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  <w:r w:rsidRPr="004C796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06F3" w:rsidRPr="004C7968" w:rsidRDefault="00C706F3" w:rsidP="0064182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Après le 14eme ou le 15eme jour suivant la primo-infection, les défenses antituberculeuses se développent,</w:t>
      </w:r>
    </w:p>
    <w:p w:rsidR="0064182F" w:rsidRPr="004C7968" w:rsidRDefault="00C706F3" w:rsidP="00641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C7968">
        <w:rPr>
          <w:rFonts w:ascii="Arial" w:hAnsi="Arial" w:cs="Arial"/>
          <w:color w:val="000000"/>
          <w:sz w:val="24"/>
          <w:szCs w:val="24"/>
        </w:rPr>
        <w:t>il</w:t>
      </w:r>
      <w:proofErr w:type="gramEnd"/>
      <w:r w:rsidRPr="004C7968">
        <w:rPr>
          <w:rFonts w:ascii="Arial" w:hAnsi="Arial" w:cs="Arial"/>
          <w:color w:val="000000"/>
          <w:sz w:val="24"/>
          <w:szCs w:val="24"/>
        </w:rPr>
        <w:t xml:space="preserve"> se forme alors un état d'immunité; C'est l'</w:t>
      </w:r>
      <w:r w:rsidRPr="004C79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immunité acquise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4C79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immunité primitive de surinfection </w:t>
      </w:r>
      <w:r w:rsidR="0064182F" w:rsidRPr="004C7968">
        <w:rPr>
          <w:rFonts w:ascii="Arial" w:hAnsi="Arial" w:cs="Arial"/>
          <w:color w:val="000000"/>
          <w:sz w:val="24"/>
          <w:szCs w:val="24"/>
        </w:rPr>
        <w:t xml:space="preserve">qui a comme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support les Macrophages chez qui s'accroît la capacité de destruction bacillaire. </w:t>
      </w:r>
    </w:p>
    <w:p w:rsidR="0064182F" w:rsidRPr="004C7968" w:rsidRDefault="0064182F" w:rsidP="00641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06F3" w:rsidRPr="004C7968" w:rsidRDefault="00C706F3" w:rsidP="0064182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Cette immunité agit par 2 mécanismes: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Ralentir la dispersion des BK de surinfection et leur destruction.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Combattre l'installation de BK nouveaux, venus de l'extension.</w:t>
      </w:r>
    </w:p>
    <w:p w:rsidR="0064182F" w:rsidRPr="004C7968" w:rsidRDefault="0064182F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06F3" w:rsidRPr="004C7968" w:rsidRDefault="00C706F3" w:rsidP="0064182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Cette immunité n'est pas absolue et ne constitue qu'un appui de résistance.</w:t>
      </w:r>
    </w:p>
    <w:p w:rsidR="0064182F" w:rsidRPr="004C7968" w:rsidRDefault="0064182F" w:rsidP="0064182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82F" w:rsidRPr="004C7968" w:rsidRDefault="00C706F3" w:rsidP="006418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C7968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>L'allergie tuberculeuse</w:t>
      </w:r>
      <w:r w:rsidRPr="004C7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  <w:r w:rsidRPr="004C796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06F3" w:rsidRPr="004C7968" w:rsidRDefault="00C706F3" w:rsidP="0064182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Du fait de la destruction des BK dans les lésions essentielles, certaines protéines bacillaires</w:t>
      </w:r>
      <w:r w:rsidR="0064182F" w:rsidRPr="004C7968">
        <w:rPr>
          <w:rFonts w:ascii="Arial" w:hAnsi="Arial" w:cs="Arial"/>
          <w:color w:val="000000"/>
          <w:sz w:val="24"/>
          <w:szCs w:val="24"/>
        </w:rPr>
        <w:t xml:space="preserve"> sont  </w:t>
      </w:r>
      <w:r w:rsidRPr="004C7968">
        <w:rPr>
          <w:rFonts w:ascii="Arial" w:hAnsi="Arial" w:cs="Arial"/>
          <w:color w:val="000000"/>
          <w:sz w:val="24"/>
          <w:szCs w:val="24"/>
        </w:rPr>
        <w:t>libérées.</w:t>
      </w:r>
    </w:p>
    <w:p w:rsidR="00C706F3" w:rsidRPr="004C7968" w:rsidRDefault="00C706F3" w:rsidP="002F07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Les lipoprotéines qui diffusent à travers tout l'organisme confère à celui-ci (l'organisme) la propriété de répondre à</w:t>
      </w:r>
      <w:r w:rsidR="002F07E0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l'arrivée de nouveaux BK ou à l'application de tuberculine (protéine) par une réaction précoce vivement inflammatoire.</w:t>
      </w:r>
    </w:p>
    <w:p w:rsidR="00C706F3" w:rsidRPr="004C7968" w:rsidRDefault="00C706F3" w:rsidP="002F07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Cette nouvelle propriété est dite </w:t>
      </w:r>
      <w:r w:rsidRPr="004C79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hypersensibilité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4C79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allergie tuberculinique cellulaire </w:t>
      </w:r>
      <w:r w:rsidRPr="004C7968">
        <w:rPr>
          <w:rFonts w:ascii="Arial" w:hAnsi="Arial" w:cs="Arial"/>
          <w:color w:val="000000"/>
          <w:sz w:val="24"/>
          <w:szCs w:val="24"/>
        </w:rPr>
        <w:t>non-humorale (pas d'anticorps</w:t>
      </w:r>
      <w:r w:rsidR="002F07E0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circulant ni de transfert passif de l'immunité d'un sujet à un autre.)</w:t>
      </w:r>
    </w:p>
    <w:p w:rsidR="00C706F3" w:rsidRPr="004C7968" w:rsidRDefault="00C706F3" w:rsidP="002F07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Il existe une phase de latence dite </w:t>
      </w:r>
      <w:proofErr w:type="spellStart"/>
      <w:r w:rsidRPr="004C7968">
        <w:rPr>
          <w:rFonts w:ascii="Arial" w:hAnsi="Arial" w:cs="Arial"/>
          <w:color w:val="000000"/>
          <w:sz w:val="24"/>
          <w:szCs w:val="24"/>
        </w:rPr>
        <w:t>anté</w:t>
      </w:r>
      <w:proofErr w:type="spellEnd"/>
      <w:r w:rsidRPr="004C7968">
        <w:rPr>
          <w:rFonts w:ascii="Arial" w:hAnsi="Arial" w:cs="Arial"/>
          <w:color w:val="000000"/>
          <w:sz w:val="24"/>
          <w:szCs w:val="24"/>
        </w:rPr>
        <w:t>-allergique qui dure 3 à 12 semaine qui n'atteint pas d'emblée son acmé mais</w:t>
      </w:r>
      <w:r w:rsidR="002F07E0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diminue progressivement en l'absence de réinfection.</w:t>
      </w:r>
    </w:p>
    <w:p w:rsidR="00C706F3" w:rsidRPr="004C7968" w:rsidRDefault="00C706F3" w:rsidP="002F07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La stérilisation des lésions initiales associée à l'absence de nouvel apport peut entraîner la dis</w:t>
      </w:r>
      <w:r w:rsidR="002F07E0" w:rsidRPr="004C7968">
        <w:rPr>
          <w:rFonts w:ascii="Arial" w:hAnsi="Arial" w:cs="Arial"/>
          <w:color w:val="000000"/>
          <w:sz w:val="24"/>
          <w:szCs w:val="24"/>
        </w:rPr>
        <w:t xml:space="preserve">parition de l'allergie mais </w:t>
      </w:r>
      <w:r w:rsidRPr="004C7968">
        <w:rPr>
          <w:rFonts w:ascii="Arial" w:hAnsi="Arial" w:cs="Arial"/>
          <w:color w:val="000000"/>
          <w:sz w:val="24"/>
          <w:szCs w:val="24"/>
        </w:rPr>
        <w:t>elle persiste après la mort du BK.</w:t>
      </w:r>
    </w:p>
    <w:p w:rsidR="00D030CD" w:rsidRPr="004C7968" w:rsidRDefault="00C706F3" w:rsidP="00D030C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 rôle de l'allergie dans l'infection tuberculeuse est considérable</w:t>
      </w:r>
    </w:p>
    <w:p w:rsidR="00D030CD" w:rsidRPr="004C7968" w:rsidRDefault="00C706F3" w:rsidP="00D030C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. Elle peut avoir un effet bénéfique mais aussi néfaste</w:t>
      </w:r>
      <w:r w:rsidR="00D030CD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du fait qu'e</w:t>
      </w:r>
      <w:r w:rsidR="00D030CD" w:rsidRPr="004C7968">
        <w:rPr>
          <w:rFonts w:ascii="Arial" w:hAnsi="Arial" w:cs="Arial"/>
          <w:color w:val="000000"/>
          <w:sz w:val="24"/>
          <w:szCs w:val="24"/>
        </w:rPr>
        <w:t xml:space="preserve">lle soit génératrice de nécrose </w:t>
      </w:r>
      <w:r w:rsidRPr="004C7968">
        <w:rPr>
          <w:rFonts w:ascii="Arial" w:hAnsi="Arial" w:cs="Arial"/>
          <w:color w:val="000000"/>
          <w:sz w:val="24"/>
          <w:szCs w:val="24"/>
        </w:rPr>
        <w:t>caséeuse.</w:t>
      </w:r>
    </w:p>
    <w:p w:rsidR="00C706F3" w:rsidRPr="004C7968" w:rsidRDefault="00C706F3" w:rsidP="009E090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 Elle est aussi responsable de l'action des protéines bacillaires et</w:t>
      </w:r>
      <w:r w:rsidR="009E090F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c'est cette allergie qui fait le diagnostic de l'infection tuberculeuse par les tests </w:t>
      </w:r>
      <w:proofErr w:type="spellStart"/>
      <w:r w:rsidRPr="004C7968">
        <w:rPr>
          <w:rFonts w:ascii="Arial" w:hAnsi="Arial" w:cs="Arial"/>
          <w:color w:val="000000"/>
          <w:sz w:val="24"/>
          <w:szCs w:val="24"/>
        </w:rPr>
        <w:t>cutanéo</w:t>
      </w:r>
      <w:proofErr w:type="spellEnd"/>
      <w:r w:rsidRPr="004C7968">
        <w:rPr>
          <w:rFonts w:ascii="Arial" w:hAnsi="Arial" w:cs="Arial"/>
          <w:color w:val="000000"/>
          <w:sz w:val="24"/>
          <w:szCs w:val="24"/>
        </w:rPr>
        <w:t>-tuberculiniques (timbre</w:t>
      </w:r>
      <w:r w:rsidR="009E090F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tuberculinique, IDR de </w:t>
      </w:r>
      <w:proofErr w:type="spellStart"/>
      <w:r w:rsidRPr="004C7968">
        <w:rPr>
          <w:rFonts w:ascii="Arial,Italic" w:hAnsi="Arial,Italic" w:cs="Arial,Italic"/>
          <w:i/>
          <w:iCs/>
          <w:color w:val="000000"/>
          <w:sz w:val="24"/>
          <w:szCs w:val="24"/>
        </w:rPr>
        <w:t>Montaux</w:t>
      </w:r>
      <w:proofErr w:type="spellEnd"/>
      <w:r w:rsidRPr="004C7968">
        <w:rPr>
          <w:rFonts w:ascii="Arial" w:hAnsi="Arial" w:cs="Arial"/>
          <w:color w:val="000000"/>
          <w:sz w:val="24"/>
          <w:szCs w:val="24"/>
        </w:rPr>
        <w:t>.)</w:t>
      </w:r>
    </w:p>
    <w:p w:rsidR="009E090F" w:rsidRDefault="009E090F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F934B3" w:rsidRPr="004C7968" w:rsidRDefault="00F934B3" w:rsidP="009E090F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E090F" w:rsidRPr="004C7968" w:rsidRDefault="00C706F3" w:rsidP="009E090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C7968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lastRenderedPageBreak/>
        <w:t>L'immunité et l'allergie</w:t>
      </w:r>
      <w:r w:rsidRPr="004C7968">
        <w:rPr>
          <w:rFonts w:ascii="Arial" w:hAnsi="Arial" w:cs="Arial"/>
          <w:color w:val="FF0000"/>
          <w:sz w:val="24"/>
          <w:szCs w:val="24"/>
          <w:u w:val="single"/>
        </w:rPr>
        <w:t xml:space="preserve">: </w:t>
      </w:r>
    </w:p>
    <w:p w:rsidR="00C706F3" w:rsidRPr="0047301B" w:rsidRDefault="00C706F3" w:rsidP="00473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Les 2 manifestations biologiques ont pour base expérimentale le phénomène de Koch et</w:t>
      </w:r>
      <w:r w:rsidR="009E090F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comme animal de choix le cobaye qui fait une tuberculose progressive et mortelle quel que soit le nombre de BK et leur</w:t>
      </w:r>
      <w:r w:rsidR="004730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301B">
        <w:rPr>
          <w:rFonts w:ascii="Arial" w:hAnsi="Arial" w:cs="Arial"/>
          <w:color w:val="000000"/>
          <w:sz w:val="24"/>
          <w:szCs w:val="24"/>
        </w:rPr>
        <w:t>mode d'entrée.</w:t>
      </w:r>
    </w:p>
    <w:p w:rsidR="00C706F3" w:rsidRPr="004C7968" w:rsidRDefault="00C706F3" w:rsidP="009E090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La voie d'inoculation est effectuée dans la cuisse par voie SC avec une dose moyenne de 0.01 ml.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Chez le cobaye neuf, cette injection ne provoque rien d'apparent pendant 10 jours et ce n'est qu'au 14eme jour</w:t>
      </w: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C7968">
        <w:rPr>
          <w:rFonts w:ascii="Arial" w:hAnsi="Arial" w:cs="Arial"/>
          <w:color w:val="000000"/>
          <w:sz w:val="24"/>
          <w:szCs w:val="24"/>
        </w:rPr>
        <w:t>qu'apparaît</w:t>
      </w:r>
      <w:proofErr w:type="gramEnd"/>
      <w:r w:rsidRPr="004C7968">
        <w:rPr>
          <w:rFonts w:ascii="Arial" w:hAnsi="Arial" w:cs="Arial"/>
          <w:color w:val="000000"/>
          <w:sz w:val="24"/>
          <w:szCs w:val="24"/>
        </w:rPr>
        <w:t xml:space="preserve"> au point d'inoculation un nodule qui va s'ulcérer et persister jusqu'à la mort de l'animal.</w:t>
      </w:r>
    </w:p>
    <w:p w:rsidR="00C706F3" w:rsidRPr="004C7968" w:rsidRDefault="00C706F3" w:rsidP="009E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Chez un cobaye déjà infecté il y a plusieurs semaines, l'inoculation de BK dans</w:t>
      </w:r>
      <w:r w:rsidR="009E090F" w:rsidRPr="004C7968">
        <w:rPr>
          <w:rFonts w:ascii="Arial" w:hAnsi="Arial" w:cs="Arial"/>
          <w:color w:val="000000"/>
          <w:sz w:val="24"/>
          <w:szCs w:val="24"/>
        </w:rPr>
        <w:t xml:space="preserve"> la peau (même genre de BK à la même dose.) e</w:t>
      </w:r>
      <w:r w:rsidRPr="004C7968">
        <w:rPr>
          <w:rFonts w:ascii="Arial" w:hAnsi="Arial" w:cs="Arial"/>
          <w:color w:val="000000"/>
          <w:sz w:val="24"/>
          <w:szCs w:val="24"/>
        </w:rPr>
        <w:t>ntraîne une induration diffuse qui va s'ulcérer.</w:t>
      </w:r>
    </w:p>
    <w:p w:rsidR="009E090F" w:rsidRPr="004C7968" w:rsidRDefault="00C706F3" w:rsidP="009E090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 cobaye déjà infecté réagit tout autrement que le cobaye neuf, l'animal neuf fait une réaction tardive jusqu'à la mort tandis</w:t>
      </w:r>
      <w:r w:rsidR="009E090F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que l'animal déjà infecté fait une réaction précoce et transitoire.</w:t>
      </w:r>
    </w:p>
    <w:p w:rsidR="00C706F3" w:rsidRPr="004C7968" w:rsidRDefault="00C706F3" w:rsidP="009E090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 Le fait que la réaction soit précoce traduit un état de sensibilité.</w:t>
      </w:r>
    </w:p>
    <w:p w:rsidR="00C706F3" w:rsidRPr="004C7968" w:rsidRDefault="00C706F3" w:rsidP="00473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 fait que la réaction soit transitoire traduit un état d'immunité de surinfection ou immunité acquise.</w:t>
      </w:r>
    </w:p>
    <w:p w:rsidR="00C706F3" w:rsidRPr="004C7968" w:rsidRDefault="00C706F3" w:rsidP="00473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L'application de ce test est illustrée dans l'IDR à la tuberculine et le BCG.</w:t>
      </w:r>
    </w:p>
    <w:p w:rsidR="00C706F3" w:rsidRPr="004C7968" w:rsidRDefault="00C706F3" w:rsidP="00473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L'allergie et l'immunité ont comme support cellulaire les Lymphocytes, les Plasmocytes et surtout les Macrophages.</w:t>
      </w:r>
    </w:p>
    <w:p w:rsidR="00C706F3" w:rsidRPr="004C7968" w:rsidRDefault="00C706F3" w:rsidP="00473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Les BK très virulents immunisent mieux que les BK mois virulents et ceux-ci immunisent mieux que les BK morts.</w:t>
      </w:r>
    </w:p>
    <w:p w:rsidR="00C706F3" w:rsidRPr="004C7968" w:rsidRDefault="00C706F3" w:rsidP="00473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La seule possibilité pour provoquer un état artificiel de l'immunité (et donc immuniser mieux) est l'injection de BK vivants.</w:t>
      </w:r>
    </w:p>
    <w:p w:rsidR="0047301B" w:rsidRPr="0047301B" w:rsidRDefault="00C706F3" w:rsidP="00473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7301B">
        <w:rPr>
          <w:rFonts w:ascii="Arial" w:hAnsi="Arial" w:cs="Arial"/>
          <w:color w:val="000000"/>
          <w:sz w:val="24"/>
          <w:szCs w:val="24"/>
        </w:rPr>
        <w:t xml:space="preserve">Le vaccin qui réunit toutes ces propriétés est le BGC pour Bacille de </w:t>
      </w:r>
      <w:r w:rsidRPr="0047301B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Calmette </w:t>
      </w:r>
    </w:p>
    <w:p w:rsidR="009E090F" w:rsidRPr="0047301B" w:rsidRDefault="00C706F3" w:rsidP="0047301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proofErr w:type="gramStart"/>
      <w:r w:rsidRPr="0047301B"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 w:rsidRPr="004730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301B">
        <w:rPr>
          <w:rFonts w:ascii="Arial,Italic" w:hAnsi="Arial,Italic" w:cs="Arial,Italic"/>
          <w:i/>
          <w:iCs/>
          <w:color w:val="000000"/>
          <w:sz w:val="24"/>
          <w:szCs w:val="24"/>
        </w:rPr>
        <w:t>Guérin</w:t>
      </w:r>
      <w:r w:rsidRPr="0047301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706F3" w:rsidRPr="004C7968" w:rsidRDefault="00C706F3" w:rsidP="0047301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Il s'ag</w:t>
      </w:r>
      <w:r w:rsidR="009E090F" w:rsidRPr="004C7968">
        <w:rPr>
          <w:rFonts w:ascii="Arial" w:hAnsi="Arial" w:cs="Arial"/>
          <w:color w:val="000000"/>
          <w:sz w:val="24"/>
          <w:szCs w:val="24"/>
        </w:rPr>
        <w:t xml:space="preserve">it d'un M. </w:t>
      </w:r>
      <w:proofErr w:type="spellStart"/>
      <w:r w:rsidR="009E090F" w:rsidRPr="004C7968"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 w:rsidR="009E090F" w:rsidRPr="004C7968">
        <w:rPr>
          <w:rFonts w:ascii="Arial" w:hAnsi="Arial" w:cs="Arial"/>
          <w:color w:val="000000"/>
          <w:sz w:val="24"/>
          <w:szCs w:val="24"/>
        </w:rPr>
        <w:t xml:space="preserve"> atténué, isolé </w:t>
      </w:r>
      <w:r w:rsidRPr="004C7968">
        <w:rPr>
          <w:rFonts w:ascii="Arial" w:hAnsi="Arial" w:cs="Arial"/>
          <w:color w:val="000000"/>
          <w:sz w:val="24"/>
          <w:szCs w:val="24"/>
        </w:rPr>
        <w:t>à partir des abcès consécutifs à la vaccination de BCG modifié par repiquage successif sur pomme de terre biliée pendant 12</w:t>
      </w:r>
      <w:r w:rsidR="004730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ans.</w:t>
      </w:r>
    </w:p>
    <w:p w:rsidR="00C706F3" w:rsidRPr="004C7968" w:rsidRDefault="00C706F3" w:rsidP="0047301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L'immunité provoquée par le BCG est imparfaite et certain pourcentage de sujets infectés fait malgré le développement de</w:t>
      </w:r>
      <w:r w:rsidR="009E090F"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l'immunité acquise une tuberculose maladie mais à évolution lente (atténuée.)</w:t>
      </w:r>
    </w:p>
    <w:p w:rsidR="009E090F" w:rsidRPr="004C7968" w:rsidRDefault="009E090F" w:rsidP="0047301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06F3" w:rsidRPr="004C7968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4C7968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V- </w:t>
      </w:r>
      <w:r w:rsidRPr="004C7968">
        <w:rPr>
          <w:rFonts w:ascii="Arial,Bold" w:hAnsi="Arial,Bold" w:cs="Arial,Bold"/>
          <w:b/>
          <w:bCs/>
          <w:color w:val="0070C0"/>
          <w:sz w:val="24"/>
          <w:szCs w:val="24"/>
          <w:u w:val="single"/>
        </w:rPr>
        <w:t xml:space="preserve">CONCLUSION </w:t>
      </w:r>
      <w:r w:rsidRPr="004C7968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:</w:t>
      </w:r>
    </w:p>
    <w:p w:rsidR="00CB4147" w:rsidRDefault="00C706F3" w:rsidP="00C70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301B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47301B">
        <w:rPr>
          <w:rFonts w:ascii="Arial,Bold" w:hAnsi="Arial,Bold" w:cs="Arial,Bold"/>
          <w:color w:val="000000" w:themeColor="text1"/>
          <w:sz w:val="24"/>
          <w:szCs w:val="24"/>
        </w:rPr>
        <w:t xml:space="preserve">tuberculeuse infection </w:t>
      </w:r>
      <w:r w:rsidRPr="0047301B">
        <w:rPr>
          <w:rFonts w:ascii="Arial" w:hAnsi="Arial" w:cs="Arial"/>
          <w:color w:val="000000" w:themeColor="text1"/>
          <w:sz w:val="24"/>
          <w:szCs w:val="24"/>
        </w:rPr>
        <w:t>est un état d'équilibre entre l'org</w:t>
      </w:r>
      <w:r w:rsidR="00CB4147">
        <w:rPr>
          <w:rFonts w:ascii="Arial" w:hAnsi="Arial" w:cs="Arial"/>
          <w:color w:val="000000" w:themeColor="text1"/>
          <w:sz w:val="24"/>
          <w:szCs w:val="24"/>
        </w:rPr>
        <w:t>anisme et le bacille de KOCH</w:t>
      </w:r>
    </w:p>
    <w:p w:rsidR="00C706F3" w:rsidRPr="00CB4147" w:rsidRDefault="00C706F3" w:rsidP="00CB4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301B">
        <w:rPr>
          <w:rFonts w:ascii="Arial" w:hAnsi="Arial" w:cs="Arial"/>
          <w:color w:val="000000" w:themeColor="text1"/>
          <w:sz w:val="24"/>
          <w:szCs w:val="24"/>
        </w:rPr>
        <w:t>Et</w:t>
      </w:r>
      <w:r w:rsidR="00CB4147">
        <w:rPr>
          <w:rFonts w:ascii="Arial" w:hAnsi="Arial" w:cs="Arial"/>
          <w:color w:val="000000" w:themeColor="text1"/>
          <w:sz w:val="24"/>
          <w:szCs w:val="24"/>
        </w:rPr>
        <w:t xml:space="preserve">at qui peut se stabiliser d'une </w:t>
      </w:r>
      <w:r w:rsidRPr="004C7968">
        <w:rPr>
          <w:rFonts w:ascii="Arial" w:hAnsi="Arial" w:cs="Arial"/>
          <w:color w:val="000000"/>
          <w:sz w:val="24"/>
          <w:szCs w:val="24"/>
        </w:rPr>
        <w:t>façon durable (guérison clinique) ou qui peut être rompu à l'occasion d'un nouvel apport massif ou par le jeu de facteurs divers</w:t>
      </w:r>
    </w:p>
    <w:p w:rsidR="00B70EC9" w:rsidRPr="0047301B" w:rsidRDefault="00C706F3" w:rsidP="00473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301B">
        <w:rPr>
          <w:rFonts w:ascii="Arial" w:hAnsi="Arial" w:cs="Arial"/>
          <w:color w:val="000000" w:themeColor="text1"/>
          <w:sz w:val="24"/>
          <w:szCs w:val="24"/>
        </w:rPr>
        <w:t>et</w:t>
      </w:r>
      <w:proofErr w:type="gramEnd"/>
      <w:r w:rsidRPr="0047301B">
        <w:rPr>
          <w:rFonts w:ascii="Arial" w:hAnsi="Arial" w:cs="Arial"/>
          <w:color w:val="000000" w:themeColor="text1"/>
          <w:sz w:val="24"/>
          <w:szCs w:val="24"/>
        </w:rPr>
        <w:t xml:space="preserve"> complexes et évoluer vers la </w:t>
      </w:r>
      <w:r w:rsidRPr="0047301B">
        <w:rPr>
          <w:rFonts w:ascii="Arial,Bold" w:hAnsi="Arial,Bold" w:cs="Arial,Bold"/>
          <w:color w:val="000000" w:themeColor="text1"/>
          <w:sz w:val="24"/>
          <w:szCs w:val="24"/>
        </w:rPr>
        <w:t xml:space="preserve">tuberculose </w:t>
      </w:r>
      <w:r w:rsidRPr="0047301B">
        <w:rPr>
          <w:rFonts w:ascii="Arial,Bold" w:hAnsi="Arial,Bold" w:cs="Arial,Bold"/>
          <w:color w:val="000000" w:themeColor="text1"/>
          <w:sz w:val="24"/>
          <w:szCs w:val="24"/>
        </w:rPr>
        <w:t>maladie</w:t>
      </w:r>
      <w:r w:rsidR="0047301B" w:rsidRPr="0047301B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B70EC9" w:rsidRPr="0047301B" w:rsidSect="0047301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43" w:rsidRDefault="00604A43" w:rsidP="00C706F3">
      <w:pPr>
        <w:spacing w:after="0" w:line="240" w:lineRule="auto"/>
      </w:pPr>
      <w:r>
        <w:separator/>
      </w:r>
    </w:p>
  </w:endnote>
  <w:endnote w:type="continuationSeparator" w:id="0">
    <w:p w:rsidR="00604A43" w:rsidRDefault="00604A43" w:rsidP="00C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014120"/>
      <w:docPartObj>
        <w:docPartGallery w:val="Page Numbers (Bottom of Page)"/>
        <w:docPartUnique/>
      </w:docPartObj>
    </w:sdtPr>
    <w:sdtContent>
      <w:p w:rsidR="00F20EF9" w:rsidRDefault="00F20E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B3">
          <w:rPr>
            <w:noProof/>
          </w:rPr>
          <w:t>4</w:t>
        </w:r>
        <w:r>
          <w:fldChar w:fldCharType="end"/>
        </w:r>
      </w:p>
    </w:sdtContent>
  </w:sdt>
  <w:p w:rsidR="00F20EF9" w:rsidRDefault="00F20E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43" w:rsidRDefault="00604A43" w:rsidP="00C706F3">
      <w:pPr>
        <w:spacing w:after="0" w:line="240" w:lineRule="auto"/>
      </w:pPr>
      <w:r>
        <w:separator/>
      </w:r>
    </w:p>
  </w:footnote>
  <w:footnote w:type="continuationSeparator" w:id="0">
    <w:p w:rsidR="00604A43" w:rsidRDefault="00604A43" w:rsidP="00C7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F3" w:rsidRDefault="00C706F3">
    <w:pPr>
      <w:pStyle w:val="En-tte"/>
    </w:pPr>
    <w:r>
      <w:t>Université ABOU BEKR BELKAID</w:t>
    </w:r>
  </w:p>
  <w:p w:rsidR="00C706F3" w:rsidRDefault="00C706F3">
    <w:pPr>
      <w:pStyle w:val="En-tte"/>
    </w:pPr>
    <w:r>
      <w:t xml:space="preserve">Faculté de Médecine </w:t>
    </w:r>
    <w:proofErr w:type="spellStart"/>
    <w:r>
      <w:t>Benaouda</w:t>
    </w:r>
    <w:proofErr w:type="spellEnd"/>
    <w:r>
      <w:t xml:space="preserve"> BENZERDJEB</w:t>
    </w:r>
  </w:p>
  <w:p w:rsidR="00C706F3" w:rsidRDefault="00C706F3">
    <w:pPr>
      <w:pStyle w:val="En-tte"/>
    </w:pPr>
    <w:r>
      <w:t>Module de Pneumo-Phtisiologie</w:t>
    </w:r>
  </w:p>
  <w:p w:rsidR="00C706F3" w:rsidRDefault="00C706F3">
    <w:pPr>
      <w:pStyle w:val="En-tte"/>
    </w:pPr>
    <w:r>
      <w:t>Dr. F. KHALOUF</w:t>
    </w:r>
  </w:p>
  <w:p w:rsidR="00C706F3" w:rsidRDefault="00C706F3">
    <w:pPr>
      <w:pStyle w:val="En-tte"/>
    </w:pPr>
    <w:r>
      <w:t>Maître-Assistante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BE5"/>
    <w:multiLevelType w:val="hybridMultilevel"/>
    <w:tmpl w:val="E7183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7E77"/>
    <w:multiLevelType w:val="hybridMultilevel"/>
    <w:tmpl w:val="D04C9B6A"/>
    <w:lvl w:ilvl="0" w:tplc="D0FE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B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9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2A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2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1C51E2"/>
    <w:multiLevelType w:val="hybridMultilevel"/>
    <w:tmpl w:val="3CC0252C"/>
    <w:lvl w:ilvl="0" w:tplc="56102CE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77AD"/>
    <w:multiLevelType w:val="hybridMultilevel"/>
    <w:tmpl w:val="A4ECA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185D"/>
    <w:multiLevelType w:val="hybridMultilevel"/>
    <w:tmpl w:val="0BB0C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619E"/>
    <w:multiLevelType w:val="hybridMultilevel"/>
    <w:tmpl w:val="344A4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117E"/>
    <w:multiLevelType w:val="hybridMultilevel"/>
    <w:tmpl w:val="97C6EC3E"/>
    <w:lvl w:ilvl="0" w:tplc="89144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88D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C9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CE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E05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43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08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8A8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9A27ED"/>
    <w:multiLevelType w:val="hybridMultilevel"/>
    <w:tmpl w:val="060C6E44"/>
    <w:lvl w:ilvl="0" w:tplc="EEE8F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D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A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A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6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4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2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C33C0E"/>
    <w:multiLevelType w:val="hybridMultilevel"/>
    <w:tmpl w:val="27540C44"/>
    <w:lvl w:ilvl="0" w:tplc="CE229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0BE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AC2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E9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4C1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237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46E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80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42A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3"/>
    <w:rsid w:val="000041A6"/>
    <w:rsid w:val="00006C35"/>
    <w:rsid w:val="000208A0"/>
    <w:rsid w:val="00061BD7"/>
    <w:rsid w:val="00090E50"/>
    <w:rsid w:val="00095D19"/>
    <w:rsid w:val="000F095D"/>
    <w:rsid w:val="000F7A08"/>
    <w:rsid w:val="001815E4"/>
    <w:rsid w:val="001A0C23"/>
    <w:rsid w:val="001A1DD3"/>
    <w:rsid w:val="00201A4E"/>
    <w:rsid w:val="00221F5A"/>
    <w:rsid w:val="002924F8"/>
    <w:rsid w:val="002C3462"/>
    <w:rsid w:val="002F07E0"/>
    <w:rsid w:val="00336A64"/>
    <w:rsid w:val="00346A7D"/>
    <w:rsid w:val="00347776"/>
    <w:rsid w:val="0038045E"/>
    <w:rsid w:val="00382A89"/>
    <w:rsid w:val="00387897"/>
    <w:rsid w:val="003913E5"/>
    <w:rsid w:val="003B3B5C"/>
    <w:rsid w:val="003C3E10"/>
    <w:rsid w:val="003C78E6"/>
    <w:rsid w:val="0047301B"/>
    <w:rsid w:val="004971E9"/>
    <w:rsid w:val="004B2658"/>
    <w:rsid w:val="004B5E1B"/>
    <w:rsid w:val="004C7968"/>
    <w:rsid w:val="004D5F60"/>
    <w:rsid w:val="00503CC8"/>
    <w:rsid w:val="00551A3E"/>
    <w:rsid w:val="005543CB"/>
    <w:rsid w:val="005B4632"/>
    <w:rsid w:val="005D415E"/>
    <w:rsid w:val="005F5D33"/>
    <w:rsid w:val="00604A43"/>
    <w:rsid w:val="0064182F"/>
    <w:rsid w:val="006C65B9"/>
    <w:rsid w:val="006E5B9D"/>
    <w:rsid w:val="006F0FD6"/>
    <w:rsid w:val="006F19CC"/>
    <w:rsid w:val="00704FD2"/>
    <w:rsid w:val="0071129A"/>
    <w:rsid w:val="00726F89"/>
    <w:rsid w:val="007720F0"/>
    <w:rsid w:val="00777688"/>
    <w:rsid w:val="0078600F"/>
    <w:rsid w:val="007C50C8"/>
    <w:rsid w:val="008412E3"/>
    <w:rsid w:val="008D34E0"/>
    <w:rsid w:val="008D39D2"/>
    <w:rsid w:val="008F2305"/>
    <w:rsid w:val="00916603"/>
    <w:rsid w:val="00936693"/>
    <w:rsid w:val="00944A79"/>
    <w:rsid w:val="00955FBE"/>
    <w:rsid w:val="00965B42"/>
    <w:rsid w:val="009E090F"/>
    <w:rsid w:val="009E7794"/>
    <w:rsid w:val="00A10379"/>
    <w:rsid w:val="00A156DC"/>
    <w:rsid w:val="00A42765"/>
    <w:rsid w:val="00A85010"/>
    <w:rsid w:val="00AE107B"/>
    <w:rsid w:val="00AF03E3"/>
    <w:rsid w:val="00B4241D"/>
    <w:rsid w:val="00B70845"/>
    <w:rsid w:val="00B70EC9"/>
    <w:rsid w:val="00B75CCB"/>
    <w:rsid w:val="00B86950"/>
    <w:rsid w:val="00BC2F78"/>
    <w:rsid w:val="00BF2FA5"/>
    <w:rsid w:val="00C41FFC"/>
    <w:rsid w:val="00C706F3"/>
    <w:rsid w:val="00C76194"/>
    <w:rsid w:val="00C91BF6"/>
    <w:rsid w:val="00CB4147"/>
    <w:rsid w:val="00D030CD"/>
    <w:rsid w:val="00D369AD"/>
    <w:rsid w:val="00D91403"/>
    <w:rsid w:val="00DB22A0"/>
    <w:rsid w:val="00E16F6B"/>
    <w:rsid w:val="00E32F3A"/>
    <w:rsid w:val="00E33011"/>
    <w:rsid w:val="00E40C92"/>
    <w:rsid w:val="00E418BE"/>
    <w:rsid w:val="00E57B1A"/>
    <w:rsid w:val="00E962FC"/>
    <w:rsid w:val="00F20EF9"/>
    <w:rsid w:val="00F934B3"/>
    <w:rsid w:val="00FA5819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6F3"/>
  </w:style>
  <w:style w:type="paragraph" w:styleId="Pieddepage">
    <w:name w:val="footer"/>
    <w:basedOn w:val="Normal"/>
    <w:link w:val="PieddepageCar"/>
    <w:uiPriority w:val="99"/>
    <w:unhideWhenUsed/>
    <w:rsid w:val="00C7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6F3"/>
  </w:style>
  <w:style w:type="paragraph" w:styleId="Paragraphedeliste">
    <w:name w:val="List Paragraph"/>
    <w:basedOn w:val="Normal"/>
    <w:uiPriority w:val="34"/>
    <w:qFormat/>
    <w:rsid w:val="00C761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6F3"/>
  </w:style>
  <w:style w:type="paragraph" w:styleId="Pieddepage">
    <w:name w:val="footer"/>
    <w:basedOn w:val="Normal"/>
    <w:link w:val="PieddepageCar"/>
    <w:uiPriority w:val="99"/>
    <w:unhideWhenUsed/>
    <w:rsid w:val="00C7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6F3"/>
  </w:style>
  <w:style w:type="paragraph" w:styleId="Paragraphedeliste">
    <w:name w:val="List Paragraph"/>
    <w:basedOn w:val="Normal"/>
    <w:uiPriority w:val="34"/>
    <w:qFormat/>
    <w:rsid w:val="00C761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2017-04-29T08:08:00Z</dcterms:created>
  <dcterms:modified xsi:type="dcterms:W3CDTF">2017-04-29T09:02:00Z</dcterms:modified>
</cp:coreProperties>
</file>